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A0900">
      <w:pPr>
        <w:pStyle w:val="BodyText"/>
        <w:spacing w:line="240" w:lineRule="auto"/>
        <w:jc w:val="right"/>
        <w:rPr>
          <w:rFonts w:ascii="Arial Narrow" w:hAnsi="Arial Narrow"/>
          <w:b/>
          <w:sz w:val="22"/>
        </w:rPr>
      </w:pPr>
      <w:r>
        <w:rPr>
          <w:rFonts w:ascii="Arial Narrow" w:hAnsi="Arial Narrow"/>
          <w:b/>
          <w:noProof/>
          <w:sz w:val="22"/>
        </w:rPr>
        <w:drawing>
          <wp:anchor distT="0" distB="0" distL="114300" distR="114300" simplePos="0" relativeHeight="251656192" behindDoc="0" locked="0" layoutInCell="1" allowOverlap="1">
            <wp:simplePos x="0" y="0"/>
            <wp:positionH relativeFrom="column">
              <wp:posOffset>1343025</wp:posOffset>
            </wp:positionH>
            <wp:positionV relativeFrom="paragraph">
              <wp:posOffset>-157480</wp:posOffset>
            </wp:positionV>
            <wp:extent cx="2524125" cy="742950"/>
            <wp:effectExtent l="19050" t="19050" r="28575" b="19050"/>
            <wp:wrapNone/>
            <wp:docPr id="2" name="Picture 2" descr="C:\Documents and Settings\Takuya Okui\My Documents\My 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kuya Okui\My Documents\My Pictures\Picture2.png"/>
                    <pic:cNvPicPr>
                      <a:picLocks noChangeAspect="1" noChangeArrowheads="1"/>
                    </pic:cNvPicPr>
                  </pic:nvPicPr>
                  <pic:blipFill>
                    <a:blip r:embed="rId5" cstate="print"/>
                    <a:srcRect b="56665"/>
                    <a:stretch>
                      <a:fillRect/>
                    </a:stretch>
                  </pic:blipFill>
                  <pic:spPr bwMode="auto">
                    <a:xfrm>
                      <a:off x="0" y="0"/>
                      <a:ext cx="2524125" cy="742950"/>
                    </a:xfrm>
                    <a:prstGeom prst="rect">
                      <a:avLst/>
                    </a:prstGeom>
                    <a:noFill/>
                    <a:ln w="9525">
                      <a:solidFill>
                        <a:srgbClr val="FFFFFF"/>
                      </a:solidFill>
                      <a:miter lim="800000"/>
                      <a:headEnd/>
                      <a:tailEnd/>
                    </a:ln>
                  </pic:spPr>
                </pic:pic>
              </a:graphicData>
            </a:graphic>
          </wp:anchor>
        </w:drawing>
      </w:r>
      <w:r w:rsidR="00F061CA">
        <w:rPr>
          <w:rFonts w:ascii="Arial Narrow" w:hAnsi="Arial Narrow"/>
          <w:b/>
          <w:sz w:val="22"/>
        </w:rPr>
        <w:t>Annexure ITGI/Rural-Cattle/03</w:t>
      </w:r>
    </w:p>
    <w:p w:rsidR="00000000" w:rsidRDefault="00F061CA">
      <w:pPr>
        <w:pStyle w:val="BodyText"/>
        <w:spacing w:line="240" w:lineRule="auto"/>
        <w:ind w:left="5040" w:firstLine="720"/>
        <w:rPr>
          <w:rFonts w:ascii="Arial Narrow" w:hAnsi="Arial Narrow"/>
          <w:b/>
          <w:sz w:val="22"/>
        </w:rPr>
      </w:pPr>
      <w:r>
        <w:rPr>
          <w:rFonts w:ascii="Arial Narrow" w:hAnsi="Arial Narrow"/>
          <w:b/>
          <w:sz w:val="22"/>
        </w:rPr>
        <w:t xml:space="preserve">               (1 of 4)</w:t>
      </w:r>
    </w:p>
    <w:p w:rsidR="00000000" w:rsidRDefault="00F061CA">
      <w:pPr>
        <w:pStyle w:val="BodyText"/>
        <w:spacing w:line="240" w:lineRule="auto"/>
        <w:rPr>
          <w:rFonts w:ascii="Arial Narrow" w:hAnsi="Arial Narrow"/>
          <w:b/>
          <w:sz w:val="22"/>
        </w:rPr>
      </w:pPr>
    </w:p>
    <w:p w:rsidR="00000000" w:rsidRDefault="00F061CA">
      <w:pPr>
        <w:pStyle w:val="BodyText"/>
        <w:spacing w:line="240" w:lineRule="auto"/>
        <w:jc w:val="center"/>
        <w:rPr>
          <w:rFonts w:ascii="Arial Narrow" w:hAnsi="Arial Narrow"/>
          <w:b/>
          <w:sz w:val="22"/>
        </w:rPr>
      </w:pPr>
      <w:r>
        <w:rPr>
          <w:rFonts w:ascii="Arial Narrow" w:hAnsi="Arial Narrow"/>
          <w:b/>
          <w:noProof/>
          <w:sz w:val="22"/>
        </w:rPr>
        <w:pict>
          <v:group id="_x0000_s1027" style="position:absolute;left:0;text-align:left;margin-left:-80pt;margin-top:3.65pt;width:570pt;height:13.6pt;z-index:251657216" coordorigin="-100,1712" coordsize="11400,272">
            <v:line id="_x0000_s1028" style="position:absolute" from="-100,1848" to="5800,1848" strokecolor="#360" strokeweight="3pt"/>
            <v:line id="_x0000_s1029" style="position:absolute" from="5800,1848" to="11300,1848" strokecolor="#39f" strokeweight="3pt"/>
            <v:line id="_x0000_s1030" style="position:absolute;flip:x" from="5615,1712" to="5915,1984" strokecolor="white" strokeweight="2.25pt"/>
          </v:group>
        </w:pict>
      </w:r>
    </w:p>
    <w:p w:rsidR="00000000" w:rsidRDefault="00F061CA">
      <w:pPr>
        <w:pStyle w:val="BodyText"/>
        <w:spacing w:line="240" w:lineRule="auto"/>
        <w:jc w:val="center"/>
        <w:rPr>
          <w:rFonts w:ascii="Arial Narrow" w:hAnsi="Arial Narrow"/>
          <w:b/>
          <w:sz w:val="22"/>
        </w:rPr>
      </w:pPr>
    </w:p>
    <w:p w:rsidR="00000000" w:rsidRDefault="00F061CA">
      <w:pPr>
        <w:pStyle w:val="BodyText"/>
        <w:spacing w:line="240" w:lineRule="auto"/>
        <w:jc w:val="center"/>
        <w:rPr>
          <w:rFonts w:ascii="Arial Narrow" w:hAnsi="Arial Narrow"/>
          <w:b/>
          <w:sz w:val="22"/>
        </w:rPr>
      </w:pPr>
      <w:r>
        <w:rPr>
          <w:rFonts w:ascii="Arial Narrow" w:hAnsi="Arial Narrow"/>
          <w:b/>
          <w:sz w:val="22"/>
        </w:rPr>
        <w:t>CATTLE &amp; LIVESTOCK INSURANCE POLICY</w:t>
      </w:r>
    </w:p>
    <w:p w:rsidR="00000000" w:rsidRDefault="00F061CA">
      <w:pPr>
        <w:pStyle w:val="BodyText"/>
        <w:spacing w:line="240" w:lineRule="auto"/>
        <w:rPr>
          <w:rFonts w:ascii="Arial Narrow" w:hAnsi="Arial Narrow"/>
          <w:sz w:val="22"/>
        </w:rPr>
      </w:pPr>
    </w:p>
    <w:p w:rsidR="00000000" w:rsidRDefault="00F061CA">
      <w:pPr>
        <w:pStyle w:val="BodyText"/>
        <w:spacing w:line="240" w:lineRule="auto"/>
        <w:rPr>
          <w:rFonts w:ascii="Arial Narrow" w:hAnsi="Arial Narrow"/>
          <w:sz w:val="22"/>
        </w:rPr>
      </w:pPr>
      <w:r>
        <w:rPr>
          <w:rFonts w:ascii="Arial Narrow" w:hAnsi="Arial Narrow"/>
          <w:sz w:val="22"/>
        </w:rPr>
        <w:t>WHEREAS the Insured named in the Schedule hereto has made to the IFFCO-TOKIO General Insurance Co., Ltd., (herein after called the "Company", a proposal and dec</w:t>
      </w:r>
      <w:r>
        <w:rPr>
          <w:rFonts w:ascii="Arial Narrow" w:hAnsi="Arial Narrow"/>
          <w:sz w:val="22"/>
        </w:rPr>
        <w:t>laration, which shall be the basis of this contract and is deemed to be incorporated herein for the Insurance hereinafter contained and has paid the premium stated herein.</w:t>
      </w:r>
    </w:p>
    <w:p w:rsidR="00000000" w:rsidRDefault="00F061CA">
      <w:pPr>
        <w:pStyle w:val="BodyText"/>
        <w:spacing w:line="240" w:lineRule="auto"/>
        <w:rPr>
          <w:rFonts w:ascii="Arial Narrow" w:hAnsi="Arial Narrow"/>
          <w:sz w:val="22"/>
        </w:rPr>
      </w:pPr>
    </w:p>
    <w:p w:rsidR="00000000" w:rsidRDefault="00F061CA">
      <w:pPr>
        <w:pStyle w:val="BodyText"/>
        <w:spacing w:line="240" w:lineRule="auto"/>
        <w:rPr>
          <w:rFonts w:ascii="Arial Narrow" w:hAnsi="Arial Narrow"/>
          <w:color w:val="FF0000"/>
          <w:sz w:val="22"/>
        </w:rPr>
      </w:pPr>
      <w:r>
        <w:rPr>
          <w:rFonts w:ascii="Arial Narrow" w:hAnsi="Arial Narrow"/>
          <w:sz w:val="22"/>
        </w:rPr>
        <w:t>THE COMPANY hereby agrees subject to the terms, provisions, conditions, contained h</w:t>
      </w:r>
      <w:r>
        <w:rPr>
          <w:rFonts w:ascii="Arial Narrow" w:hAnsi="Arial Narrow"/>
          <w:sz w:val="22"/>
        </w:rPr>
        <w:t>erein or endorsed to otherwise expressed thereon that if any animal described in the Schedule and belonging to the Insured shall die from any disease or accident (including fire and lightning) contracted or occurring during the period of Insurance stated h</w:t>
      </w:r>
      <w:r>
        <w:rPr>
          <w:rFonts w:ascii="Arial Narrow" w:hAnsi="Arial Narrow"/>
          <w:sz w:val="22"/>
        </w:rPr>
        <w:t>erein or any subsequent period in respect of which the insured shall have paid and the Company shall have accepted the premium required for the renewal or extension thereof the Company will pay to the Insured after receipt of proof of death satisfactory to</w:t>
      </w:r>
      <w:r>
        <w:rPr>
          <w:rFonts w:ascii="Arial Narrow" w:hAnsi="Arial Narrow"/>
          <w:sz w:val="22"/>
        </w:rPr>
        <w:t xml:space="preserve"> the Company the loss which the Insured shall suffer by the death of such animal not exceeding the Sum Insured in respect thereof as stated in the Schedule hereto or its Market value at the time of loss whichever is less. </w:t>
      </w:r>
      <w:r>
        <w:rPr>
          <w:rFonts w:ascii="Arial Narrow" w:hAnsi="Arial Narrow"/>
          <w:color w:val="FF0000"/>
          <w:sz w:val="22"/>
        </w:rPr>
        <w:t>However, the company's liability i</w:t>
      </w:r>
      <w:r>
        <w:rPr>
          <w:rFonts w:ascii="Arial Narrow" w:hAnsi="Arial Narrow"/>
          <w:color w:val="FF0000"/>
          <w:sz w:val="22"/>
        </w:rPr>
        <w:t>s restricted to 50% of Sum Insured or market value whichever is less if the animal prior to death giving rise to a valid claim under the Policy is not pregnant or four months less of pregnancy or not in milk production.</w:t>
      </w:r>
    </w:p>
    <w:p w:rsidR="00000000" w:rsidRDefault="00F061CA">
      <w:pPr>
        <w:jc w:val="both"/>
        <w:rPr>
          <w:rFonts w:ascii="Arial Narrow" w:hAnsi="Arial Narrow"/>
          <w:sz w:val="22"/>
        </w:rPr>
      </w:pPr>
    </w:p>
    <w:p w:rsidR="00000000" w:rsidRDefault="00F061CA">
      <w:pPr>
        <w:pStyle w:val="Heading1"/>
        <w:spacing w:line="240" w:lineRule="auto"/>
        <w:rPr>
          <w:rFonts w:ascii="Arial Narrow" w:hAnsi="Arial Narrow"/>
          <w:b/>
          <w:sz w:val="22"/>
        </w:rPr>
      </w:pPr>
      <w:r>
        <w:rPr>
          <w:rFonts w:ascii="Arial Narrow" w:hAnsi="Arial Narrow"/>
          <w:b/>
          <w:sz w:val="22"/>
        </w:rPr>
        <w:t>EXCEPTIONS</w:t>
      </w: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PROVIDED ALWAYS that th</w:t>
      </w:r>
      <w:r>
        <w:rPr>
          <w:rFonts w:ascii="Arial Narrow" w:hAnsi="Arial Narrow"/>
          <w:sz w:val="22"/>
        </w:rPr>
        <w:t>is Policy does not cover (unless expressly agreed to by the Company in writing) death directly or indirectly due to arising out or resulting from:</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Malicious or wilful injury or neglect, over loading unskilful treatment or use of animal for purpose other t</w:t>
      </w:r>
      <w:r>
        <w:rPr>
          <w:rFonts w:ascii="Arial Narrow" w:hAnsi="Arial Narrow"/>
          <w:sz w:val="22"/>
        </w:rPr>
        <w:t>han stated in the Policy without the consent of the Company in writing.</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Diseases contracted prior to commencement of risk. And provided always that any claim arising out of disease or illness contracted by the animal during the first 15 days from the comm</w:t>
      </w:r>
      <w:r>
        <w:rPr>
          <w:rFonts w:ascii="Arial Narrow" w:hAnsi="Arial Narrow"/>
          <w:sz w:val="22"/>
        </w:rPr>
        <w:t>encement date of Policy. This exclusion shall not however, apply if insurance is in existence for a continuous period of 12 months without any break.</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Intentional slaughter of the animal except in cases where destruction is necessary to terminate incurable</w:t>
      </w:r>
      <w:r>
        <w:rPr>
          <w:rFonts w:ascii="Arial Narrow" w:hAnsi="Arial Narrow"/>
          <w:sz w:val="22"/>
        </w:rPr>
        <w:t xml:space="preserve"> suffering on humane consideration on the basis of certificate issued by qualified Veterinary surgeon or in cases where destruction is resorted to by order of lawfully constituted authority.</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Transport by air and/or sea.</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Pleuropneumonia in respect of Catt</w:t>
      </w:r>
      <w:r>
        <w:rPr>
          <w:rFonts w:ascii="Arial Narrow" w:hAnsi="Arial Narrow"/>
          <w:sz w:val="22"/>
        </w:rPr>
        <w:t>le in Lakhimpur and Sibsagar Districts of Assam.</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Theft or clandestine sale of the Insured animal.</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Permanent Total Disability, which in case of Milch Cattle results in permanent and total incapacity to conceive or yield milk, which in case of Stud bulls r</w:t>
      </w:r>
      <w:r>
        <w:rPr>
          <w:rFonts w:ascii="Arial Narrow" w:hAnsi="Arial Narrow"/>
          <w:sz w:val="22"/>
        </w:rPr>
        <w:t>esult in permanent and total incapacity for breeding purpose and in case of bullocks and castrated male buffaloes result in permanent and total incapacity for the purpose of use mentioned in the proposal.</w:t>
      </w:r>
    </w:p>
    <w:p w:rsidR="00000000" w:rsidRDefault="00F061CA">
      <w:pPr>
        <w:tabs>
          <w:tab w:val="num" w:pos="270"/>
        </w:tabs>
        <w:ind w:left="360"/>
        <w:jc w:val="both"/>
        <w:rPr>
          <w:rFonts w:ascii="Arial Narrow" w:hAnsi="Arial Narrow"/>
          <w:sz w:val="22"/>
        </w:rPr>
      </w:pPr>
    </w:p>
    <w:p w:rsidR="00000000" w:rsidRDefault="00F061CA">
      <w:pPr>
        <w:tabs>
          <w:tab w:val="num" w:pos="270"/>
        </w:tabs>
        <w:ind w:left="360"/>
        <w:jc w:val="both"/>
        <w:rPr>
          <w:rFonts w:ascii="Arial Narrow" w:hAnsi="Arial Narrow"/>
          <w:sz w:val="22"/>
        </w:rPr>
      </w:pPr>
      <w:r>
        <w:rPr>
          <w:rFonts w:ascii="Arial Narrow" w:hAnsi="Arial Narrow"/>
          <w:sz w:val="22"/>
        </w:rPr>
        <w:t>This exclusion can be deleted on payment of the re</w:t>
      </w:r>
      <w:r>
        <w:rPr>
          <w:rFonts w:ascii="Arial Narrow" w:hAnsi="Arial Narrow"/>
          <w:sz w:val="22"/>
        </w:rPr>
        <w:t>quired additional premium in which case Insurer’s liability is restricted to 50 to 70% of Sum Insured or Market Value at the time of loss whichever is less.</w:t>
      </w:r>
    </w:p>
    <w:p w:rsidR="00000000" w:rsidRDefault="00F061CA">
      <w:pPr>
        <w:pStyle w:val="BodyTextIndent"/>
        <w:spacing w:line="240" w:lineRule="auto"/>
        <w:ind w:left="0"/>
        <w:rPr>
          <w:rFonts w:ascii="Arial Narrow" w:hAnsi="Arial Narrow"/>
          <w:sz w:val="22"/>
        </w:rPr>
      </w:pPr>
    </w:p>
    <w:p w:rsidR="00000000" w:rsidRDefault="00F061CA">
      <w:pPr>
        <w:pStyle w:val="BodyTextIndent"/>
        <w:numPr>
          <w:ilvl w:val="0"/>
          <w:numId w:val="1"/>
        </w:numPr>
        <w:spacing w:line="240" w:lineRule="auto"/>
        <w:rPr>
          <w:rFonts w:ascii="Arial Narrow" w:hAnsi="Arial Narrow"/>
          <w:sz w:val="22"/>
        </w:rPr>
      </w:pPr>
      <w:r>
        <w:rPr>
          <w:rFonts w:ascii="Arial Narrow" w:hAnsi="Arial Narrow"/>
          <w:sz w:val="22"/>
        </w:rPr>
        <w:t>War, invasion, act of foreign enemy, hostilities (whether war be declared or not) civil war, rebel</w:t>
      </w:r>
      <w:r>
        <w:rPr>
          <w:rFonts w:ascii="Arial Narrow" w:hAnsi="Arial Narrow"/>
          <w:sz w:val="22"/>
        </w:rPr>
        <w:t>lion, revolution, insurrection, mutiny, tumult, military or usurped power or any consequence thereof or attempt there at.</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The indemnity or compensation provided by this policy shall not apply to nor include any accident, loss, destruction, damage or legal</w:t>
      </w:r>
      <w:r>
        <w:rPr>
          <w:rFonts w:ascii="Arial Narrow" w:hAnsi="Arial Narrow"/>
          <w:sz w:val="22"/>
        </w:rPr>
        <w:t xml:space="preserve"> liability directly or indirectly caused by or contributed to by or arising from nuclear weapons materials.</w:t>
      </w:r>
    </w:p>
    <w:p w:rsidR="00000000" w:rsidRDefault="00F061CA">
      <w:pPr>
        <w:jc w:val="both"/>
        <w:rPr>
          <w:rFonts w:ascii="Arial Narrow" w:hAnsi="Arial Narrow"/>
          <w:sz w:val="22"/>
        </w:rPr>
      </w:pPr>
    </w:p>
    <w:p w:rsidR="00000000" w:rsidRDefault="00F061CA">
      <w:pPr>
        <w:numPr>
          <w:ilvl w:val="0"/>
          <w:numId w:val="1"/>
        </w:numPr>
        <w:jc w:val="both"/>
        <w:rPr>
          <w:rFonts w:ascii="Arial Narrow" w:hAnsi="Arial Narrow"/>
          <w:sz w:val="22"/>
        </w:rPr>
      </w:pPr>
      <w:r>
        <w:rPr>
          <w:rFonts w:ascii="Arial Narrow" w:hAnsi="Arial Narrow"/>
          <w:sz w:val="22"/>
        </w:rPr>
        <w:t>Consequential loss or legal liability any kind description.</w:t>
      </w:r>
    </w:p>
    <w:p w:rsidR="00000000" w:rsidRDefault="00F061CA">
      <w:pPr>
        <w:jc w:val="both"/>
        <w:rPr>
          <w:rFonts w:ascii="Arial Narrow" w:hAnsi="Arial Narrow"/>
          <w:color w:val="FF0000"/>
          <w:sz w:val="22"/>
        </w:rPr>
      </w:pPr>
    </w:p>
    <w:p w:rsidR="00000000" w:rsidRDefault="00F061CA">
      <w:pPr>
        <w:pStyle w:val="Heading1"/>
        <w:spacing w:line="240" w:lineRule="auto"/>
        <w:rPr>
          <w:rFonts w:ascii="Arial Narrow" w:hAnsi="Arial Narrow"/>
          <w:b/>
          <w:sz w:val="22"/>
        </w:rPr>
      </w:pPr>
      <w:r>
        <w:rPr>
          <w:rFonts w:ascii="Arial Narrow" w:hAnsi="Arial Narrow"/>
          <w:b/>
          <w:sz w:val="22"/>
        </w:rPr>
        <w:t>CONDITIONS</w:t>
      </w:r>
    </w:p>
    <w:p w:rsidR="00000000" w:rsidRDefault="00F061CA">
      <w:pPr>
        <w:jc w:val="both"/>
        <w:rPr>
          <w:rFonts w:ascii="Arial Narrow" w:hAnsi="Arial Narrow"/>
          <w:sz w:val="22"/>
        </w:rPr>
      </w:pPr>
    </w:p>
    <w:p w:rsidR="00000000" w:rsidRDefault="00F061CA">
      <w:pPr>
        <w:numPr>
          <w:ilvl w:val="0"/>
          <w:numId w:val="2"/>
        </w:numPr>
        <w:jc w:val="both"/>
        <w:rPr>
          <w:rFonts w:ascii="Arial Narrow" w:hAnsi="Arial Narrow"/>
          <w:spacing w:val="40"/>
          <w:sz w:val="22"/>
        </w:rPr>
      </w:pPr>
      <w:r>
        <w:rPr>
          <w:rFonts w:ascii="Arial Narrow" w:hAnsi="Arial Narrow"/>
          <w:sz w:val="22"/>
        </w:rPr>
        <w:t>If there shall be any incorrect or untrue statement in the proposal herein</w:t>
      </w:r>
      <w:r>
        <w:rPr>
          <w:rFonts w:ascii="Arial Narrow" w:hAnsi="Arial Narrow"/>
          <w:sz w:val="22"/>
        </w:rPr>
        <w:t xml:space="preserve"> referred to, or if the Insured shall not state any material fact or, circumstance at the time of proposal or afterwards or, at the commencement of the risk hereunder or on any alteration or extension or renewal of this Policy, or if he shall make any fals</w:t>
      </w:r>
      <w:r>
        <w:rPr>
          <w:rFonts w:ascii="Arial Narrow" w:hAnsi="Arial Narrow"/>
          <w:sz w:val="22"/>
        </w:rPr>
        <w:t>e or fraudulent claim, or shall fail in particular to observe and perform the terms and conditions hereof, this Policy shall be void and all premiums paid hereon shall be forfeited to the Company.</w:t>
      </w:r>
    </w:p>
    <w:p w:rsidR="00000000" w:rsidRDefault="00F061CA">
      <w:pPr>
        <w:jc w:val="both"/>
        <w:rPr>
          <w:rFonts w:ascii="Arial Narrow" w:hAnsi="Arial Narrow"/>
          <w:spacing w:val="40"/>
          <w:sz w:val="22"/>
        </w:rPr>
      </w:pPr>
    </w:p>
    <w:p w:rsidR="00000000" w:rsidRDefault="00F061CA">
      <w:pPr>
        <w:numPr>
          <w:ilvl w:val="0"/>
          <w:numId w:val="2"/>
        </w:numPr>
        <w:jc w:val="both"/>
        <w:rPr>
          <w:rFonts w:ascii="Arial Narrow" w:hAnsi="Arial Narrow"/>
          <w:spacing w:val="40"/>
          <w:sz w:val="22"/>
        </w:rPr>
      </w:pPr>
      <w:r>
        <w:rPr>
          <w:rFonts w:ascii="Arial Narrow" w:hAnsi="Arial Narrow"/>
          <w:sz w:val="22"/>
        </w:rPr>
        <w:t xml:space="preserve">Every animal must be sound and in perfect health and free </w:t>
      </w:r>
      <w:r>
        <w:rPr>
          <w:rFonts w:ascii="Arial Narrow" w:hAnsi="Arial Narrow"/>
          <w:sz w:val="22"/>
        </w:rPr>
        <w:t>from any injury at the time of the proposal for insurance or for any renewal, addition or substitution and must also remain sound and be in perfect health and free from any injury at the time of payment of the premium or balance thereof.</w:t>
      </w:r>
    </w:p>
    <w:p w:rsidR="00000000" w:rsidRDefault="00F061CA">
      <w:pPr>
        <w:jc w:val="both"/>
        <w:rPr>
          <w:rFonts w:ascii="Arial Narrow" w:hAnsi="Arial Narrow"/>
          <w:spacing w:val="40"/>
          <w:sz w:val="22"/>
        </w:rPr>
      </w:pPr>
    </w:p>
    <w:p w:rsidR="00000000" w:rsidRDefault="00F061CA">
      <w:pPr>
        <w:numPr>
          <w:ilvl w:val="0"/>
          <w:numId w:val="2"/>
        </w:numPr>
        <w:jc w:val="both"/>
        <w:rPr>
          <w:rFonts w:ascii="Arial Narrow" w:hAnsi="Arial Narrow"/>
          <w:spacing w:val="40"/>
          <w:sz w:val="22"/>
        </w:rPr>
      </w:pPr>
      <w:r>
        <w:rPr>
          <w:rFonts w:ascii="Arial Narrow" w:hAnsi="Arial Narrow"/>
          <w:sz w:val="22"/>
        </w:rPr>
        <w:t>The Insured shall</w:t>
      </w:r>
      <w:r>
        <w:rPr>
          <w:rFonts w:ascii="Arial Narrow" w:hAnsi="Arial Narrow"/>
          <w:sz w:val="22"/>
        </w:rPr>
        <w:t xml:space="preserve"> permit any authorised representatives of the Company at all times to inspect the animals hereby insured and the premises of the Insured where the animals are stabled and the Insured shall furnish any information which the Company may require and shall com</w:t>
      </w:r>
      <w:r>
        <w:rPr>
          <w:rFonts w:ascii="Arial Narrow" w:hAnsi="Arial Narrow"/>
          <w:sz w:val="22"/>
        </w:rPr>
        <w:t>ply with all reasonable regulations and direction from time to time given by the Company.</w:t>
      </w:r>
    </w:p>
    <w:p w:rsidR="00000000" w:rsidRDefault="00F061CA">
      <w:pPr>
        <w:jc w:val="both"/>
        <w:rPr>
          <w:rFonts w:ascii="Arial Narrow" w:hAnsi="Arial Narrow"/>
          <w:spacing w:val="40"/>
          <w:sz w:val="22"/>
        </w:rPr>
      </w:pPr>
    </w:p>
    <w:p w:rsidR="00000000" w:rsidRDefault="00F061CA">
      <w:pPr>
        <w:numPr>
          <w:ilvl w:val="0"/>
          <w:numId w:val="2"/>
        </w:numPr>
        <w:jc w:val="both"/>
        <w:rPr>
          <w:rFonts w:ascii="Arial Narrow" w:hAnsi="Arial Narrow"/>
          <w:spacing w:val="40"/>
          <w:sz w:val="22"/>
        </w:rPr>
      </w:pPr>
      <w:r>
        <w:rPr>
          <w:rFonts w:ascii="Arial Narrow" w:hAnsi="Arial Narrow"/>
          <w:sz w:val="22"/>
        </w:rPr>
        <w:t>The Insured shall give immediate notice in writing to the Company of any illness or lameness or accident or injury to animal hereby insured.</w:t>
      </w:r>
    </w:p>
    <w:p w:rsidR="00000000" w:rsidRDefault="00F061CA">
      <w:pPr>
        <w:jc w:val="both"/>
        <w:rPr>
          <w:rFonts w:ascii="Arial Narrow" w:hAnsi="Arial Narrow"/>
          <w:spacing w:val="40"/>
          <w:sz w:val="22"/>
        </w:rPr>
      </w:pPr>
    </w:p>
    <w:p w:rsidR="00000000" w:rsidRDefault="00F061CA">
      <w:pPr>
        <w:numPr>
          <w:ilvl w:val="0"/>
          <w:numId w:val="2"/>
        </w:numPr>
        <w:jc w:val="both"/>
        <w:rPr>
          <w:rFonts w:ascii="Arial Narrow" w:hAnsi="Arial Narrow"/>
          <w:spacing w:val="40"/>
          <w:sz w:val="22"/>
        </w:rPr>
      </w:pPr>
      <w:r>
        <w:rPr>
          <w:rFonts w:ascii="Arial Narrow" w:hAnsi="Arial Narrow"/>
          <w:sz w:val="22"/>
        </w:rPr>
        <w:t>The Insured shall ensur</w:t>
      </w:r>
      <w:r>
        <w:rPr>
          <w:rFonts w:ascii="Arial Narrow" w:hAnsi="Arial Narrow"/>
          <w:sz w:val="22"/>
        </w:rPr>
        <w:t>e every animal insured to have sufficient and proper food, water and shelter and shall keep secure all fences, wards sheds and stabling and shall at all times and to the best of his knowledge and ability use and exercise every due and proper precaution and</w:t>
      </w:r>
      <w:r>
        <w:rPr>
          <w:rFonts w:ascii="Arial Narrow" w:hAnsi="Arial Narrow"/>
          <w:sz w:val="22"/>
        </w:rPr>
        <w:t xml:space="preserve"> safe guard against loss or danger or loss under this Policy;.  the intent and meaning of this condition being that each insured animal shall have same care and attention as when not insured.</w:t>
      </w:r>
    </w:p>
    <w:p w:rsidR="00000000" w:rsidRDefault="00F061CA">
      <w:pPr>
        <w:numPr>
          <w:ilvl w:val="0"/>
          <w:numId w:val="2"/>
        </w:numPr>
        <w:jc w:val="both"/>
        <w:rPr>
          <w:rFonts w:ascii="Arial Narrow" w:hAnsi="Arial Narrow"/>
          <w:spacing w:val="40"/>
          <w:sz w:val="22"/>
        </w:rPr>
      </w:pPr>
      <w:r>
        <w:rPr>
          <w:rFonts w:ascii="Arial Narrow" w:hAnsi="Arial Narrow"/>
          <w:sz w:val="22"/>
        </w:rPr>
        <w:t>Ear tag should be surrendered at the time of claim. Otherwise no</w:t>
      </w:r>
      <w:r>
        <w:rPr>
          <w:rFonts w:ascii="Arial Narrow" w:hAnsi="Arial Narrow"/>
          <w:sz w:val="22"/>
        </w:rPr>
        <w:t xml:space="preserve"> claim is recoverable under this Policy.</w:t>
      </w:r>
    </w:p>
    <w:p w:rsidR="00000000" w:rsidRDefault="00F061CA">
      <w:pPr>
        <w:jc w:val="both"/>
        <w:rPr>
          <w:rFonts w:ascii="Arial Narrow" w:hAnsi="Arial Narrow"/>
          <w:spacing w:val="40"/>
          <w:sz w:val="22"/>
        </w:rPr>
      </w:pPr>
    </w:p>
    <w:p w:rsidR="00000000" w:rsidRDefault="00F061CA">
      <w:pPr>
        <w:numPr>
          <w:ilvl w:val="0"/>
          <w:numId w:val="2"/>
        </w:numPr>
        <w:jc w:val="both"/>
        <w:rPr>
          <w:rFonts w:ascii="Arial Narrow" w:hAnsi="Arial Narrow"/>
          <w:spacing w:val="40"/>
          <w:sz w:val="22"/>
        </w:rPr>
      </w:pPr>
      <w:r>
        <w:rPr>
          <w:rFonts w:ascii="Arial Narrow" w:hAnsi="Arial Narrow"/>
          <w:sz w:val="22"/>
        </w:rPr>
        <w:t>In the event of illness or accident the Insured shall, at his own expense immediately obtain the service of a qualified Veterinary Surgeon and ensure the animals to be properly treated.</w:t>
      </w:r>
    </w:p>
    <w:p w:rsidR="00000000" w:rsidRDefault="00F061CA">
      <w:pPr>
        <w:jc w:val="both"/>
        <w:rPr>
          <w:rFonts w:ascii="Arial Narrow" w:hAnsi="Arial Narrow"/>
          <w:spacing w:val="40"/>
          <w:sz w:val="22"/>
        </w:rPr>
      </w:pPr>
    </w:p>
    <w:p w:rsidR="00000000" w:rsidRDefault="00F061CA">
      <w:pPr>
        <w:numPr>
          <w:ilvl w:val="0"/>
          <w:numId w:val="2"/>
        </w:numPr>
        <w:jc w:val="both"/>
        <w:rPr>
          <w:rFonts w:ascii="Arial Narrow" w:hAnsi="Arial Narrow"/>
          <w:spacing w:val="40"/>
          <w:sz w:val="22"/>
        </w:rPr>
      </w:pPr>
      <w:r>
        <w:rPr>
          <w:rFonts w:ascii="Arial Narrow" w:hAnsi="Arial Narrow"/>
          <w:sz w:val="22"/>
        </w:rPr>
        <w:t xml:space="preserve">On the death of any animal </w:t>
      </w:r>
      <w:r>
        <w:rPr>
          <w:rFonts w:ascii="Arial Narrow" w:hAnsi="Arial Narrow"/>
          <w:sz w:val="22"/>
        </w:rPr>
        <w:t>hereby insured, the Insured shall, give immediate notice thereof to the Company (at the Office which has issued the Policy; and shall give the Company an opportunity of inspecting carcass until at least the expiration of twenty four hours after such notice</w:t>
      </w:r>
      <w:r>
        <w:rPr>
          <w:rFonts w:ascii="Arial Narrow" w:hAnsi="Arial Narrow"/>
          <w:sz w:val="22"/>
        </w:rPr>
        <w:t xml:space="preserve"> shall have been received by the Company). The Insured shall also within fourteen days submit such Veterinary Certificates and satisfactory proof and to furnish to the Company such information accompanied by the death identity and value of the animal as th</w:t>
      </w:r>
      <w:r>
        <w:rPr>
          <w:rFonts w:ascii="Arial Narrow" w:hAnsi="Arial Narrow"/>
          <w:sz w:val="22"/>
        </w:rPr>
        <w:t>e Company may require. The ear-tag should be surrendered along with the above Certificates.</w:t>
      </w:r>
    </w:p>
    <w:p w:rsidR="00000000" w:rsidRDefault="00F061CA">
      <w:pPr>
        <w:numPr>
          <w:ilvl w:val="0"/>
          <w:numId w:val="2"/>
        </w:numPr>
        <w:jc w:val="both"/>
        <w:rPr>
          <w:rFonts w:ascii="Arial Narrow" w:hAnsi="Arial Narrow"/>
          <w:spacing w:val="40"/>
          <w:sz w:val="22"/>
        </w:rPr>
      </w:pPr>
      <w:r>
        <w:rPr>
          <w:rFonts w:ascii="Arial Narrow" w:hAnsi="Arial Narrow"/>
          <w:sz w:val="22"/>
        </w:rPr>
        <w:t>If and when any claim under this Policy is made and if there is any other insurance by whomsoever effected covering the same animal the Company shall contribute onl</w:t>
      </w:r>
      <w:r>
        <w:rPr>
          <w:rFonts w:ascii="Arial Narrow" w:hAnsi="Arial Narrow"/>
          <w:sz w:val="22"/>
        </w:rPr>
        <w:t>y its rateable proportion.</w:t>
      </w:r>
    </w:p>
    <w:p w:rsidR="00000000" w:rsidRDefault="00F061CA">
      <w:pPr>
        <w:jc w:val="both"/>
        <w:rPr>
          <w:rFonts w:ascii="Arial Narrow" w:hAnsi="Arial Narrow"/>
          <w:spacing w:val="40"/>
          <w:sz w:val="22"/>
        </w:rPr>
      </w:pPr>
    </w:p>
    <w:p w:rsidR="00000000" w:rsidRDefault="00F061CA">
      <w:pPr>
        <w:numPr>
          <w:ilvl w:val="0"/>
          <w:numId w:val="4"/>
        </w:numPr>
        <w:jc w:val="both"/>
        <w:rPr>
          <w:rFonts w:ascii="Arial Narrow" w:hAnsi="Arial Narrow"/>
          <w:spacing w:val="40"/>
          <w:sz w:val="22"/>
        </w:rPr>
      </w:pPr>
      <w:r>
        <w:rPr>
          <w:rFonts w:ascii="Arial Narrow" w:hAnsi="Arial Narrow"/>
          <w:sz w:val="22"/>
        </w:rPr>
        <w:lastRenderedPageBreak/>
        <w:t>If death of the animals, hereby Insured shall be due to the negligence, carelessness or wrongdoing of any person the Insured shall not claim or accept any compensation from such person or persons, but shall at once give to the C</w:t>
      </w:r>
      <w:r>
        <w:rPr>
          <w:rFonts w:ascii="Arial Narrow" w:hAnsi="Arial Narrow"/>
          <w:sz w:val="22"/>
        </w:rPr>
        <w:t xml:space="preserve">ompany all necessary information and assistance to enable the Company to secure such compensation and it shall be absolutely the right of the Company to sue in the name of the Insured and recover compensations from the persons causing death and any monies </w:t>
      </w:r>
      <w:r>
        <w:rPr>
          <w:rFonts w:ascii="Arial Narrow" w:hAnsi="Arial Narrow"/>
          <w:sz w:val="22"/>
        </w:rPr>
        <w:t>or other compensation which shall be recovered shall belong to the Company. The Company will indemnify the Insured against, all costs and expenses incurred with its written consent.</w:t>
      </w:r>
    </w:p>
    <w:p w:rsidR="00000000" w:rsidRDefault="00F061CA">
      <w:pPr>
        <w:jc w:val="both"/>
        <w:rPr>
          <w:rFonts w:ascii="Arial Narrow" w:hAnsi="Arial Narrow"/>
          <w:spacing w:val="40"/>
          <w:sz w:val="22"/>
        </w:rPr>
      </w:pPr>
    </w:p>
    <w:p w:rsidR="00000000" w:rsidRDefault="00F061CA">
      <w:pPr>
        <w:numPr>
          <w:ilvl w:val="0"/>
          <w:numId w:val="4"/>
        </w:numPr>
        <w:jc w:val="both"/>
        <w:rPr>
          <w:rFonts w:ascii="Arial Narrow" w:hAnsi="Arial Narrow"/>
          <w:sz w:val="22"/>
        </w:rPr>
      </w:pPr>
      <w:r>
        <w:rPr>
          <w:rFonts w:ascii="Arial Narrow" w:hAnsi="Arial Narrow"/>
          <w:sz w:val="22"/>
        </w:rPr>
        <w:t>The company may cancel this Policy by sending seven days notice by regist</w:t>
      </w:r>
      <w:r>
        <w:rPr>
          <w:rFonts w:ascii="Arial Narrow" w:hAnsi="Arial Narrow"/>
          <w:sz w:val="22"/>
        </w:rPr>
        <w:t>ered letter to the Insured at his last known address and in such event will return to the Insured the premium less the prorata portion thereof for the period the Policy has been in force or the Policy may be cancelled at any time by the Insured (provided n</w:t>
      </w:r>
      <w:r>
        <w:rPr>
          <w:rFonts w:ascii="Arial Narrow" w:hAnsi="Arial Narrow"/>
          <w:sz w:val="22"/>
        </w:rPr>
        <w:t>o claim has arisen during the then current period of insurance) and the Insured shall be entitled of return of the premium after deducting in premium at the Company’s short   period scale of rates for the time the Policy has been to force.</w:t>
      </w:r>
    </w:p>
    <w:p w:rsidR="00000000" w:rsidRDefault="00F061CA">
      <w:pPr>
        <w:jc w:val="both"/>
        <w:rPr>
          <w:rFonts w:ascii="Arial Narrow" w:hAnsi="Arial Narrow"/>
          <w:sz w:val="22"/>
        </w:rPr>
      </w:pPr>
    </w:p>
    <w:p w:rsidR="00000000" w:rsidRDefault="00F061CA">
      <w:pPr>
        <w:numPr>
          <w:ilvl w:val="0"/>
          <w:numId w:val="4"/>
        </w:numPr>
        <w:jc w:val="both"/>
        <w:rPr>
          <w:rFonts w:ascii="Arial Narrow" w:hAnsi="Arial Narrow"/>
          <w:szCs w:val="20"/>
          <w:lang w:val="en-GB"/>
        </w:rPr>
      </w:pPr>
      <w:r>
        <w:rPr>
          <w:rFonts w:ascii="Arial Narrow" w:hAnsi="Arial Narrow"/>
        </w:rPr>
        <w:t>Should any disp</w:t>
      </w:r>
      <w:r>
        <w:rPr>
          <w:rFonts w:ascii="Arial Narrow" w:hAnsi="Arial Narrow"/>
        </w:rPr>
        <w:t>ute arise between the Insured and the Company on quantum of amount payable (liability being otherwise admitted), such dispute will independently of all other questions be referred to the decision of Arbitrator(s) in accordance with statutory provision of t</w:t>
      </w:r>
      <w:r>
        <w:rPr>
          <w:rFonts w:ascii="Arial Narrow" w:hAnsi="Arial Narrow"/>
        </w:rPr>
        <w:t>he country in force at that time.  Further, if / when any dispute is referable or referred to Arbitration, the making of an award by Arbitrator(s) shall be a condition precedent to any right of action by  the Insured against the Company.</w:t>
      </w:r>
    </w:p>
    <w:p w:rsidR="00000000" w:rsidRDefault="00F061CA">
      <w:pPr>
        <w:jc w:val="both"/>
        <w:rPr>
          <w:rFonts w:ascii="Arial Narrow" w:hAnsi="Arial Narrow"/>
          <w:szCs w:val="20"/>
          <w:lang w:val="en-GB"/>
        </w:rPr>
      </w:pPr>
    </w:p>
    <w:p w:rsidR="00000000" w:rsidRDefault="00F061CA">
      <w:pPr>
        <w:numPr>
          <w:ilvl w:val="0"/>
          <w:numId w:val="5"/>
        </w:numPr>
        <w:jc w:val="both"/>
        <w:rPr>
          <w:rFonts w:ascii="Arial Narrow" w:hAnsi="Arial Narrow"/>
          <w:szCs w:val="20"/>
          <w:lang w:val="en-GB"/>
        </w:rPr>
      </w:pPr>
      <w:r>
        <w:rPr>
          <w:rFonts w:ascii="Arial Narrow" w:hAnsi="Arial Narrow"/>
        </w:rPr>
        <w:t>If the Company sh</w:t>
      </w:r>
      <w:r>
        <w:rPr>
          <w:rFonts w:ascii="Arial Narrow" w:hAnsi="Arial Narrow"/>
        </w:rPr>
        <w:t>all disclaim liability in any claim, and such claim shall not have been made subject matter of a suit in a court of law within 12 months from the date of disclaimer, then the claim shall for all purposes be deemed to have been abandoned and shall not there</w:t>
      </w:r>
      <w:r>
        <w:rPr>
          <w:rFonts w:ascii="Arial Narrow" w:hAnsi="Arial Narrow"/>
        </w:rPr>
        <w:t>after be recoverable under this Policy.</w:t>
      </w:r>
    </w:p>
    <w:p w:rsidR="00000000" w:rsidRDefault="00F061CA">
      <w:pPr>
        <w:jc w:val="both"/>
        <w:rPr>
          <w:rFonts w:ascii="Arial Narrow" w:hAnsi="Arial Narrow"/>
          <w:szCs w:val="20"/>
          <w:lang w:val="en-GB"/>
        </w:rPr>
      </w:pPr>
    </w:p>
    <w:p w:rsidR="00000000" w:rsidRDefault="00F061CA">
      <w:pPr>
        <w:numPr>
          <w:ilvl w:val="0"/>
          <w:numId w:val="4"/>
        </w:numPr>
        <w:jc w:val="both"/>
        <w:rPr>
          <w:rFonts w:ascii="Arial Narrow" w:hAnsi="Arial Narrow"/>
          <w:sz w:val="22"/>
        </w:rPr>
      </w:pPr>
      <w:r>
        <w:rPr>
          <w:rFonts w:ascii="Arial Narrow" w:hAnsi="Arial Narrow"/>
          <w:sz w:val="22"/>
        </w:rPr>
        <w:t>The due observance and fulfilment of terms conditions and endorsements of this Policy in so far as they relate to anything to be done or complied with by the Insured shall be a condition precedent to liability of th</w:t>
      </w:r>
      <w:r>
        <w:rPr>
          <w:rFonts w:ascii="Arial Narrow" w:hAnsi="Arial Narrow"/>
          <w:sz w:val="22"/>
        </w:rPr>
        <w:t>e company to make any payment under this policy.</w:t>
      </w:r>
    </w:p>
    <w:p w:rsidR="00000000" w:rsidRDefault="00F061CA">
      <w:pPr>
        <w:jc w:val="both"/>
        <w:rPr>
          <w:rFonts w:ascii="Arial Narrow" w:hAnsi="Arial Narrow"/>
          <w:sz w:val="22"/>
        </w:rPr>
      </w:pPr>
    </w:p>
    <w:p w:rsidR="00000000" w:rsidRDefault="00F061CA">
      <w:pPr>
        <w:pStyle w:val="Heading1"/>
        <w:spacing w:line="240" w:lineRule="auto"/>
        <w:rPr>
          <w:rFonts w:ascii="Arial Narrow" w:hAnsi="Arial Narrow"/>
          <w:b/>
          <w:sz w:val="22"/>
        </w:rPr>
      </w:pPr>
      <w:r>
        <w:rPr>
          <w:rFonts w:ascii="Arial Narrow" w:hAnsi="Arial Narrow"/>
          <w:b/>
          <w:sz w:val="22"/>
        </w:rPr>
        <w:t>PROHBITION OF REBATES</w:t>
      </w: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The following is a copy Section 41 of the Insurance Act 1938:</w:t>
      </w:r>
    </w:p>
    <w:p w:rsidR="00000000" w:rsidRDefault="00F061CA">
      <w:pPr>
        <w:jc w:val="both"/>
        <w:rPr>
          <w:rFonts w:ascii="Arial Narrow" w:hAnsi="Arial Narrow"/>
          <w:sz w:val="22"/>
        </w:rPr>
      </w:pPr>
    </w:p>
    <w:p w:rsidR="00000000" w:rsidRDefault="00F061CA">
      <w:pPr>
        <w:numPr>
          <w:ilvl w:val="0"/>
          <w:numId w:val="3"/>
        </w:numPr>
        <w:jc w:val="both"/>
        <w:rPr>
          <w:rFonts w:ascii="Arial Narrow" w:hAnsi="Arial Narrow"/>
          <w:sz w:val="22"/>
        </w:rPr>
      </w:pPr>
      <w:r>
        <w:rPr>
          <w:rFonts w:ascii="Arial Narrow" w:hAnsi="Arial Narrow"/>
          <w:sz w:val="22"/>
        </w:rPr>
        <w:t>No person shall allow or offer to allow, either directly or indirectly as an inducement to any person to takeout or rene</w:t>
      </w:r>
      <w:r>
        <w:rPr>
          <w:rFonts w:ascii="Arial Narrow" w:hAnsi="Arial Narrow"/>
          <w:sz w:val="22"/>
        </w:rPr>
        <w:t>w or continue an insurance in respect of any kind of risk relating to lives or property in India any rebate of premium shown on the Policy, nor shall any person taking out or renewing or continuing a Policy accept any rebate except such rebate as may be al</w:t>
      </w:r>
      <w:r>
        <w:rPr>
          <w:rFonts w:ascii="Arial Narrow" w:hAnsi="Arial Narrow"/>
          <w:sz w:val="22"/>
        </w:rPr>
        <w:t>lowed in accordance with the published prospectus or table of the insurer.</w:t>
      </w:r>
    </w:p>
    <w:p w:rsidR="00000000" w:rsidRDefault="00F061CA">
      <w:pPr>
        <w:pStyle w:val="BodyTextIndent3"/>
        <w:spacing w:after="0" w:line="240" w:lineRule="auto"/>
        <w:rPr>
          <w:rFonts w:ascii="Arial Narrow" w:hAnsi="Arial Narrow"/>
          <w:sz w:val="22"/>
        </w:rPr>
      </w:pPr>
    </w:p>
    <w:p w:rsidR="00000000" w:rsidRDefault="00F061CA">
      <w:pPr>
        <w:pStyle w:val="BodyTextIndent3"/>
        <w:spacing w:after="0" w:line="240" w:lineRule="auto"/>
        <w:ind w:left="360" w:firstLine="0"/>
        <w:rPr>
          <w:rFonts w:ascii="Arial Narrow" w:hAnsi="Arial Narrow"/>
          <w:sz w:val="22"/>
        </w:rPr>
      </w:pPr>
      <w:r>
        <w:rPr>
          <w:rFonts w:ascii="Arial Narrow" w:hAnsi="Arial Narrow"/>
          <w:sz w:val="22"/>
        </w:rPr>
        <w:t>Provided that acceptance by an insurance agent of commission in connection with a policy of Life Insurance taken out by himself on his own life shall not be deemed to be acceptance</w:t>
      </w:r>
      <w:r>
        <w:rPr>
          <w:rFonts w:ascii="Arial Narrow" w:hAnsi="Arial Narrow"/>
          <w:sz w:val="22"/>
        </w:rPr>
        <w:t xml:space="preserve"> of a rebate of premium within the meaning of this subsection if at time of such acceptance the insurance agent satisfied the prescribed conditions establishing that he is a bonafied Insurance agent employed by the Insurer.</w:t>
      </w:r>
    </w:p>
    <w:p w:rsidR="00000000" w:rsidRDefault="00F061CA">
      <w:pPr>
        <w:jc w:val="both"/>
        <w:rPr>
          <w:rFonts w:ascii="Arial Narrow" w:hAnsi="Arial Narrow"/>
          <w:sz w:val="22"/>
        </w:rPr>
      </w:pPr>
    </w:p>
    <w:p w:rsidR="00000000" w:rsidRDefault="00F061CA">
      <w:pPr>
        <w:numPr>
          <w:ilvl w:val="0"/>
          <w:numId w:val="3"/>
        </w:numPr>
        <w:jc w:val="both"/>
        <w:rPr>
          <w:rFonts w:ascii="Arial Narrow" w:hAnsi="Arial Narrow"/>
          <w:sz w:val="22"/>
        </w:rPr>
      </w:pPr>
      <w:r>
        <w:rPr>
          <w:rFonts w:ascii="Arial Narrow" w:hAnsi="Arial Narrow"/>
          <w:sz w:val="22"/>
        </w:rPr>
        <w:t>Any person making default in co</w:t>
      </w:r>
      <w:r>
        <w:rPr>
          <w:rFonts w:ascii="Arial Narrow" w:hAnsi="Arial Narrow"/>
          <w:sz w:val="22"/>
        </w:rPr>
        <w:t>mplying with the provision of this Section shall be punishable with fine, which may extend to five hundred rupees.</w:t>
      </w: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pStyle w:val="Heading2"/>
      </w:pPr>
      <w:r>
        <w:lastRenderedPageBreak/>
        <w:t>Annexure ITGI/Rural-Cattle/03</w:t>
      </w:r>
    </w:p>
    <w:p w:rsidR="00000000" w:rsidRDefault="00F061CA">
      <w:pPr>
        <w:ind w:left="4650" w:firstLine="390"/>
        <w:jc w:val="center"/>
        <w:rPr>
          <w:rFonts w:ascii="Arial Narrow" w:hAnsi="Arial Narrow"/>
          <w:b/>
          <w:sz w:val="22"/>
        </w:rPr>
      </w:pPr>
      <w:r>
        <w:rPr>
          <w:rFonts w:ascii="Arial Narrow" w:hAnsi="Arial Narrow"/>
          <w:b/>
          <w:sz w:val="22"/>
        </w:rPr>
        <w:t xml:space="preserve">          (4 of 4)</w:t>
      </w:r>
    </w:p>
    <w:p w:rsidR="00000000" w:rsidRDefault="003A0900">
      <w:pPr>
        <w:jc w:val="both"/>
        <w:rPr>
          <w:rFonts w:ascii="Arial Narrow" w:hAnsi="Arial Narrow"/>
          <w:sz w:val="22"/>
        </w:rPr>
      </w:pPr>
      <w:r>
        <w:rPr>
          <w:rFonts w:ascii="Arial Narrow" w:hAnsi="Arial Narrow"/>
          <w:noProof/>
          <w:sz w:val="20"/>
          <w:lang w:val="en-US"/>
        </w:rPr>
        <w:drawing>
          <wp:anchor distT="0" distB="0" distL="114300" distR="114300" simplePos="0" relativeHeight="251658240" behindDoc="0" locked="0" layoutInCell="1" allowOverlap="1">
            <wp:simplePos x="0" y="0"/>
            <wp:positionH relativeFrom="column">
              <wp:posOffset>1323975</wp:posOffset>
            </wp:positionH>
            <wp:positionV relativeFrom="paragraph">
              <wp:posOffset>109855</wp:posOffset>
            </wp:positionV>
            <wp:extent cx="2524125" cy="742950"/>
            <wp:effectExtent l="19050" t="19050" r="28575" b="19050"/>
            <wp:wrapNone/>
            <wp:docPr id="7" name="Picture 7" descr="C:\Documents and Settings\Takuya Okui\My Documents\My 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akuya Okui\My Documents\My Pictures\Picture2.png"/>
                    <pic:cNvPicPr>
                      <a:picLocks noChangeAspect="1" noChangeArrowheads="1"/>
                    </pic:cNvPicPr>
                  </pic:nvPicPr>
                  <pic:blipFill>
                    <a:blip r:embed="rId5" cstate="print"/>
                    <a:srcRect b="56665"/>
                    <a:stretch>
                      <a:fillRect/>
                    </a:stretch>
                  </pic:blipFill>
                  <pic:spPr bwMode="auto">
                    <a:xfrm>
                      <a:off x="0" y="0"/>
                      <a:ext cx="2524125" cy="742950"/>
                    </a:xfrm>
                    <a:prstGeom prst="rect">
                      <a:avLst/>
                    </a:prstGeom>
                    <a:noFill/>
                    <a:ln w="9525">
                      <a:solidFill>
                        <a:srgbClr val="FFFFFF"/>
                      </a:solidFill>
                      <a:miter lim="800000"/>
                      <a:headEnd/>
                      <a:tailEnd/>
                    </a:ln>
                  </pic:spPr>
                </pic:pic>
              </a:graphicData>
            </a:graphic>
          </wp:anchor>
        </w:drawing>
      </w: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noProof/>
          <w:sz w:val="20"/>
          <w:lang w:val="en-US"/>
        </w:rPr>
        <w:pict>
          <v:group id="_x0000_s1032" style="position:absolute;left:0;text-align:left;margin-left:-90pt;margin-top:.3pt;width:570pt;height:13.6pt;z-index:251659264" coordorigin="-100,1712" coordsize="11400,272">
            <v:line id="_x0000_s1033" style="position:absolute" from="-100,1848" to="5800,1848" strokecolor="#360" strokeweight="3pt"/>
            <v:line id="_x0000_s1034" style="position:absolute" from="5800,1848" to="11300,1848" strokecolor="#39f" strokeweight="3pt"/>
            <v:line id="_x0000_s1035" style="position:absolute;flip:x" from="5615,1712" to="5915,1984" strokecolor="white" strokeweight="2.25pt"/>
          </v:group>
        </w:pict>
      </w: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center"/>
        <w:rPr>
          <w:rFonts w:ascii="Arial Narrow" w:hAnsi="Arial Narrow"/>
          <w:b/>
          <w:bCs/>
          <w:sz w:val="22"/>
        </w:rPr>
      </w:pPr>
      <w:r>
        <w:rPr>
          <w:rFonts w:ascii="Arial Narrow" w:hAnsi="Arial Narrow"/>
          <w:b/>
          <w:bCs/>
          <w:sz w:val="22"/>
        </w:rPr>
        <w:t>Cattle Insurance Schedule</w:t>
      </w: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Policy No………………………………..</w:t>
      </w:r>
      <w:r>
        <w:rPr>
          <w:rFonts w:ascii="Arial Narrow" w:hAnsi="Arial Narrow"/>
          <w:sz w:val="22"/>
        </w:rPr>
        <w:tab/>
      </w:r>
      <w:r>
        <w:rPr>
          <w:rFonts w:ascii="Arial Narrow" w:hAnsi="Arial Narrow"/>
          <w:sz w:val="22"/>
        </w:rPr>
        <w:tab/>
        <w:t>In lieu of Cover Note No……</w:t>
      </w:r>
      <w:r>
        <w:rPr>
          <w:rFonts w:ascii="Arial Narrow" w:hAnsi="Arial Narrow"/>
          <w:sz w:val="22"/>
        </w:rPr>
        <w:t>……….</w:t>
      </w:r>
    </w:p>
    <w:p w:rsidR="00000000" w:rsidRDefault="00F061CA">
      <w:pPr>
        <w:jc w:val="both"/>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255"/>
      </w:tblGrid>
      <w:tr w:rsidR="00000000">
        <w:tblPrEx>
          <w:tblCellMar>
            <w:top w:w="0" w:type="dxa"/>
            <w:bottom w:w="0" w:type="dxa"/>
          </w:tblCellMar>
        </w:tblPrEx>
        <w:tc>
          <w:tcPr>
            <w:tcW w:w="1908" w:type="dxa"/>
          </w:tcPr>
          <w:p w:rsidR="00000000" w:rsidRDefault="00F061CA">
            <w:pPr>
              <w:jc w:val="both"/>
              <w:rPr>
                <w:rFonts w:ascii="Arial Narrow" w:hAnsi="Arial Narrow"/>
                <w:sz w:val="22"/>
              </w:rPr>
            </w:pPr>
            <w:r>
              <w:rPr>
                <w:rFonts w:ascii="Arial Narrow" w:hAnsi="Arial Narrow"/>
                <w:sz w:val="22"/>
              </w:rPr>
              <w:t>INSSURED</w:t>
            </w:r>
          </w:p>
        </w:tc>
        <w:tc>
          <w:tcPr>
            <w:tcW w:w="6255" w:type="dxa"/>
          </w:tcPr>
          <w:p w:rsidR="00000000" w:rsidRDefault="00F061CA">
            <w:pPr>
              <w:jc w:val="both"/>
              <w:rPr>
                <w:rFonts w:ascii="Arial Narrow" w:hAnsi="Arial Narrow"/>
                <w:sz w:val="22"/>
              </w:rPr>
            </w:pPr>
            <w:r>
              <w:rPr>
                <w:rFonts w:ascii="Arial Narrow" w:hAnsi="Arial Narrow"/>
                <w:sz w:val="22"/>
              </w:rPr>
              <w:t>Name</w:t>
            </w:r>
          </w:p>
          <w:p w:rsidR="00000000" w:rsidRDefault="00F061CA">
            <w:pPr>
              <w:jc w:val="both"/>
              <w:rPr>
                <w:rFonts w:ascii="Arial Narrow" w:hAnsi="Arial Narrow"/>
                <w:sz w:val="22"/>
              </w:rPr>
            </w:pPr>
            <w:r>
              <w:rPr>
                <w:rFonts w:ascii="Arial Narrow" w:hAnsi="Arial Narrow"/>
                <w:sz w:val="22"/>
              </w:rPr>
              <w:t>Address</w:t>
            </w: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Profession/Occupation</w:t>
            </w:r>
          </w:p>
        </w:tc>
      </w:tr>
      <w:tr w:rsidR="00000000">
        <w:tblPrEx>
          <w:tblCellMar>
            <w:top w:w="0" w:type="dxa"/>
            <w:bottom w:w="0" w:type="dxa"/>
          </w:tblCellMar>
        </w:tblPrEx>
        <w:tc>
          <w:tcPr>
            <w:tcW w:w="1908" w:type="dxa"/>
          </w:tcPr>
          <w:p w:rsidR="00000000" w:rsidRDefault="00F061CA">
            <w:pPr>
              <w:jc w:val="both"/>
              <w:rPr>
                <w:rFonts w:ascii="Arial Narrow" w:hAnsi="Arial Narrow"/>
                <w:sz w:val="22"/>
              </w:rPr>
            </w:pPr>
            <w:r>
              <w:rPr>
                <w:rFonts w:ascii="Arial Narrow" w:hAnsi="Arial Narrow"/>
                <w:sz w:val="22"/>
              </w:rPr>
              <w:t>Period of Insurance</w:t>
            </w:r>
          </w:p>
        </w:tc>
        <w:tc>
          <w:tcPr>
            <w:tcW w:w="6255" w:type="dxa"/>
          </w:tcPr>
          <w:p w:rsidR="00000000" w:rsidRDefault="00F061CA">
            <w:pPr>
              <w:jc w:val="both"/>
              <w:rPr>
                <w:rFonts w:ascii="Arial Narrow" w:hAnsi="Arial Narrow"/>
                <w:sz w:val="22"/>
              </w:rPr>
            </w:pPr>
            <w:r>
              <w:rPr>
                <w:rFonts w:ascii="Arial Narrow" w:hAnsi="Arial Narrow"/>
                <w:sz w:val="22"/>
              </w:rPr>
              <w:t>From ………..AM/PM of……………………….to…………………………….</w:t>
            </w:r>
          </w:p>
        </w:tc>
      </w:tr>
    </w:tbl>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DESCRIPTION OF ANIMALS INSURED</w:t>
      </w:r>
    </w:p>
    <w:p w:rsidR="00000000" w:rsidRDefault="00F061CA">
      <w:pPr>
        <w:jc w:val="both"/>
        <w:rPr>
          <w:rFonts w:ascii="Arial Narrow" w:hAnsi="Arial Narrow"/>
          <w:sz w:val="22"/>
        </w:rPr>
      </w:pPr>
      <w:r>
        <w:rPr>
          <w:rFonts w:ascii="Arial Narrow" w:hAnsi="Arial Narrow"/>
          <w:sz w:val="22"/>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710"/>
        <w:gridCol w:w="1170"/>
        <w:gridCol w:w="1800"/>
        <w:gridCol w:w="600"/>
        <w:gridCol w:w="800"/>
        <w:gridCol w:w="900"/>
        <w:gridCol w:w="1048"/>
      </w:tblGrid>
      <w:tr w:rsidR="00000000">
        <w:tblPrEx>
          <w:tblCellMar>
            <w:top w:w="0" w:type="dxa"/>
            <w:bottom w:w="0" w:type="dxa"/>
          </w:tblCellMar>
        </w:tblPrEx>
        <w:trPr>
          <w:trHeight w:val="953"/>
        </w:trPr>
        <w:tc>
          <w:tcPr>
            <w:tcW w:w="828" w:type="dxa"/>
          </w:tcPr>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Sl. No.</w:t>
            </w:r>
          </w:p>
        </w:tc>
        <w:tc>
          <w:tcPr>
            <w:tcW w:w="1710" w:type="dxa"/>
          </w:tcPr>
          <w:p w:rsidR="00000000" w:rsidRDefault="00F061CA">
            <w:pPr>
              <w:pStyle w:val="BodyText2"/>
              <w:spacing w:line="240" w:lineRule="auto"/>
              <w:jc w:val="both"/>
              <w:rPr>
                <w:rFonts w:ascii="Arial Narrow" w:hAnsi="Arial Narrow"/>
                <w:sz w:val="22"/>
              </w:rPr>
            </w:pPr>
          </w:p>
          <w:p w:rsidR="00000000" w:rsidRDefault="00F061CA">
            <w:pPr>
              <w:pStyle w:val="BodyText2"/>
              <w:spacing w:line="240" w:lineRule="auto"/>
              <w:jc w:val="both"/>
              <w:rPr>
                <w:rFonts w:ascii="Arial Narrow" w:hAnsi="Arial Narrow"/>
                <w:sz w:val="22"/>
              </w:rPr>
            </w:pPr>
            <w:r>
              <w:rPr>
                <w:rFonts w:ascii="Arial Narrow" w:hAnsi="Arial Narrow"/>
                <w:sz w:val="22"/>
              </w:rPr>
              <w:t>IDENTIFICATION</w:t>
            </w:r>
          </w:p>
          <w:p w:rsidR="00000000" w:rsidRDefault="00F061CA">
            <w:pPr>
              <w:jc w:val="both"/>
              <w:rPr>
                <w:rFonts w:ascii="Arial Narrow" w:hAnsi="Arial Narrow"/>
                <w:sz w:val="22"/>
              </w:rPr>
            </w:pPr>
            <w:r>
              <w:rPr>
                <w:rFonts w:ascii="Arial Narrow" w:hAnsi="Arial Narrow"/>
                <w:sz w:val="22"/>
              </w:rPr>
              <w:t>(Animal’s Number</w:t>
            </w:r>
          </w:p>
          <w:p w:rsidR="00000000" w:rsidRDefault="00F061CA">
            <w:pPr>
              <w:jc w:val="both"/>
              <w:rPr>
                <w:rFonts w:ascii="Arial Narrow" w:hAnsi="Arial Narrow"/>
                <w:sz w:val="22"/>
              </w:rPr>
            </w:pPr>
            <w:r>
              <w:rPr>
                <w:rFonts w:ascii="Arial Narrow" w:hAnsi="Arial Narrow"/>
                <w:sz w:val="22"/>
              </w:rPr>
              <w:t>Ear Tag / Marks)</w:t>
            </w:r>
          </w:p>
        </w:tc>
        <w:tc>
          <w:tcPr>
            <w:tcW w:w="1170" w:type="dxa"/>
          </w:tcPr>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Species/Breed</w:t>
            </w:r>
          </w:p>
        </w:tc>
        <w:tc>
          <w:tcPr>
            <w:tcW w:w="1800" w:type="dxa"/>
          </w:tcPr>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Sex, Colour&amp; Distingui</w:t>
            </w:r>
            <w:r>
              <w:rPr>
                <w:rFonts w:ascii="Arial Narrow" w:hAnsi="Arial Narrow"/>
                <w:sz w:val="22"/>
              </w:rPr>
              <w:t>shing Marks</w:t>
            </w:r>
          </w:p>
        </w:tc>
        <w:tc>
          <w:tcPr>
            <w:tcW w:w="600" w:type="dxa"/>
          </w:tcPr>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Age</w:t>
            </w:r>
          </w:p>
        </w:tc>
        <w:tc>
          <w:tcPr>
            <w:tcW w:w="800" w:type="dxa"/>
          </w:tcPr>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Height</w:t>
            </w:r>
          </w:p>
        </w:tc>
        <w:tc>
          <w:tcPr>
            <w:tcW w:w="900" w:type="dxa"/>
          </w:tcPr>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Purpose  for which Used</w:t>
            </w:r>
          </w:p>
        </w:tc>
        <w:tc>
          <w:tcPr>
            <w:tcW w:w="1048" w:type="dxa"/>
          </w:tcPr>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Sum</w:t>
            </w:r>
          </w:p>
          <w:p w:rsidR="00000000" w:rsidRDefault="00F061CA">
            <w:pPr>
              <w:jc w:val="both"/>
              <w:rPr>
                <w:rFonts w:ascii="Arial Narrow" w:hAnsi="Arial Narrow"/>
                <w:sz w:val="22"/>
              </w:rPr>
            </w:pPr>
            <w:r>
              <w:rPr>
                <w:rFonts w:ascii="Arial Narrow" w:hAnsi="Arial Narrow"/>
                <w:sz w:val="22"/>
              </w:rPr>
              <w:t>Insured      Rs.</w:t>
            </w:r>
          </w:p>
        </w:tc>
      </w:tr>
      <w:tr w:rsidR="00000000">
        <w:tblPrEx>
          <w:tblCellMar>
            <w:top w:w="0" w:type="dxa"/>
            <w:bottom w:w="0" w:type="dxa"/>
          </w:tblCellMar>
        </w:tblPrEx>
        <w:trPr>
          <w:trHeight w:val="1808"/>
        </w:trPr>
        <w:tc>
          <w:tcPr>
            <w:tcW w:w="828" w:type="dxa"/>
          </w:tcPr>
          <w:p w:rsidR="00000000" w:rsidRDefault="00F061CA">
            <w:pPr>
              <w:jc w:val="both"/>
              <w:rPr>
                <w:rFonts w:ascii="Arial Narrow" w:hAnsi="Arial Narrow"/>
                <w:sz w:val="22"/>
              </w:rPr>
            </w:pPr>
          </w:p>
        </w:tc>
        <w:tc>
          <w:tcPr>
            <w:tcW w:w="1710" w:type="dxa"/>
          </w:tcPr>
          <w:p w:rsidR="00000000" w:rsidRDefault="00F061CA">
            <w:pPr>
              <w:pStyle w:val="BodyText2"/>
              <w:spacing w:line="240" w:lineRule="auto"/>
              <w:jc w:val="both"/>
              <w:rPr>
                <w:rFonts w:ascii="Arial Narrow" w:hAnsi="Arial Narrow"/>
                <w:sz w:val="22"/>
              </w:rPr>
            </w:pPr>
          </w:p>
        </w:tc>
        <w:tc>
          <w:tcPr>
            <w:tcW w:w="1170" w:type="dxa"/>
          </w:tcPr>
          <w:p w:rsidR="00000000" w:rsidRDefault="00F061CA">
            <w:pPr>
              <w:jc w:val="both"/>
              <w:rPr>
                <w:rFonts w:ascii="Arial Narrow" w:hAnsi="Arial Narrow"/>
                <w:sz w:val="22"/>
              </w:rPr>
            </w:pPr>
          </w:p>
        </w:tc>
        <w:tc>
          <w:tcPr>
            <w:tcW w:w="1800" w:type="dxa"/>
          </w:tcPr>
          <w:p w:rsidR="00000000" w:rsidRDefault="00F061CA">
            <w:pPr>
              <w:jc w:val="both"/>
              <w:rPr>
                <w:rFonts w:ascii="Arial Narrow" w:hAnsi="Arial Narrow"/>
                <w:sz w:val="22"/>
              </w:rPr>
            </w:pPr>
          </w:p>
        </w:tc>
        <w:tc>
          <w:tcPr>
            <w:tcW w:w="600" w:type="dxa"/>
          </w:tcPr>
          <w:p w:rsidR="00000000" w:rsidRDefault="00F061CA">
            <w:pPr>
              <w:jc w:val="both"/>
              <w:rPr>
                <w:rFonts w:ascii="Arial Narrow" w:hAnsi="Arial Narrow"/>
                <w:sz w:val="22"/>
              </w:rPr>
            </w:pPr>
          </w:p>
        </w:tc>
        <w:tc>
          <w:tcPr>
            <w:tcW w:w="800" w:type="dxa"/>
          </w:tcPr>
          <w:p w:rsidR="00000000" w:rsidRDefault="00F061CA">
            <w:pPr>
              <w:jc w:val="both"/>
              <w:rPr>
                <w:rFonts w:ascii="Arial Narrow" w:hAnsi="Arial Narrow"/>
                <w:sz w:val="22"/>
              </w:rPr>
            </w:pPr>
          </w:p>
        </w:tc>
        <w:tc>
          <w:tcPr>
            <w:tcW w:w="900" w:type="dxa"/>
          </w:tcPr>
          <w:p w:rsidR="00000000" w:rsidRDefault="00F061CA">
            <w:pPr>
              <w:jc w:val="both"/>
              <w:rPr>
                <w:rFonts w:ascii="Arial Narrow" w:hAnsi="Arial Narrow"/>
                <w:sz w:val="22"/>
              </w:rPr>
            </w:pPr>
          </w:p>
        </w:tc>
        <w:tc>
          <w:tcPr>
            <w:tcW w:w="1048" w:type="dxa"/>
          </w:tcPr>
          <w:p w:rsidR="00000000" w:rsidRDefault="00F061CA">
            <w:pPr>
              <w:jc w:val="both"/>
              <w:rPr>
                <w:rFonts w:ascii="Arial Narrow" w:hAnsi="Arial Narrow"/>
                <w:sz w:val="22"/>
              </w:rPr>
            </w:pPr>
          </w:p>
        </w:tc>
      </w:tr>
    </w:tbl>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Total  Sum Insured:</w:t>
      </w:r>
      <w:r>
        <w:rPr>
          <w:rFonts w:ascii="Arial Narrow" w:hAnsi="Arial Narrow"/>
          <w:sz w:val="22"/>
        </w:rPr>
        <w:tab/>
      </w:r>
      <w:r>
        <w:rPr>
          <w:rFonts w:ascii="Arial Narrow" w:hAnsi="Arial Narrow"/>
          <w:sz w:val="22"/>
        </w:rPr>
        <w:tab/>
        <w:t>Rs……………………………..</w:t>
      </w:r>
      <w:r>
        <w:rPr>
          <w:rFonts w:ascii="Arial Narrow" w:hAnsi="Arial Narrow"/>
          <w:sz w:val="22"/>
        </w:rPr>
        <w:tab/>
      </w:r>
    </w:p>
    <w:p w:rsidR="00000000" w:rsidRDefault="00F061CA">
      <w:pPr>
        <w:jc w:val="both"/>
        <w:rPr>
          <w:rFonts w:ascii="Arial Narrow" w:hAnsi="Arial Narrow"/>
          <w:sz w:val="22"/>
        </w:rPr>
      </w:pPr>
      <w:r>
        <w:rPr>
          <w:rFonts w:ascii="Arial Narrow" w:hAnsi="Arial Narrow"/>
          <w:sz w:val="22"/>
        </w:rPr>
        <w:t xml:space="preserve">Premium: </w:t>
      </w:r>
      <w:r>
        <w:rPr>
          <w:rFonts w:ascii="Arial Narrow" w:hAnsi="Arial Narrow"/>
          <w:sz w:val="22"/>
        </w:rPr>
        <w:tab/>
      </w:r>
      <w:r>
        <w:rPr>
          <w:rFonts w:ascii="Arial Narrow" w:hAnsi="Arial Narrow"/>
          <w:sz w:val="22"/>
        </w:rPr>
        <w:tab/>
      </w:r>
      <w:r>
        <w:rPr>
          <w:rFonts w:ascii="Arial Narrow" w:hAnsi="Arial Narrow"/>
          <w:sz w:val="22"/>
        </w:rPr>
        <w:tab/>
        <w:t>Rs……………………………..</w:t>
      </w: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Location of the farm or place where the animals are stabled……………………………………………..</w:t>
      </w:r>
    </w:p>
    <w:p w:rsidR="00000000" w:rsidRDefault="00F061CA">
      <w:pPr>
        <w:jc w:val="both"/>
        <w:rPr>
          <w:rFonts w:ascii="Arial Narrow" w:hAnsi="Arial Narrow"/>
          <w:sz w:val="22"/>
        </w:rPr>
      </w:pPr>
      <w:r>
        <w:rPr>
          <w:rFonts w:ascii="Arial Narrow" w:hAnsi="Arial Narrow"/>
          <w:sz w:val="22"/>
        </w:rPr>
        <w:t>……………………………………………………………………</w:t>
      </w:r>
      <w:r>
        <w:rPr>
          <w:rFonts w:ascii="Arial Narrow" w:hAnsi="Arial Narrow"/>
          <w:sz w:val="22"/>
        </w:rPr>
        <w:t>……………………………………………………………………………………………………………………………………………………………………</w:t>
      </w: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Name of the scheme under which purchases………………………………</w:t>
      </w: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Special Conditions</w:t>
      </w: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jc w:val="both"/>
        <w:rPr>
          <w:rFonts w:ascii="Arial Narrow" w:hAnsi="Arial Narrow"/>
          <w:sz w:val="22"/>
        </w:rPr>
      </w:pPr>
      <w:r>
        <w:rPr>
          <w:rFonts w:ascii="Arial Narrow" w:hAnsi="Arial Narrow"/>
          <w:sz w:val="22"/>
        </w:rPr>
        <w:t>IN WITNESS WHEREOF signed by and on behalf of the Company</w:t>
      </w:r>
    </w:p>
    <w:p w:rsidR="00000000" w:rsidRDefault="00F061CA">
      <w:pPr>
        <w:ind w:left="-90"/>
        <w:jc w:val="both"/>
        <w:rPr>
          <w:rFonts w:ascii="Arial Narrow" w:hAnsi="Arial Narrow"/>
          <w:sz w:val="22"/>
        </w:rPr>
      </w:pPr>
      <w:r>
        <w:rPr>
          <w:rFonts w:ascii="Arial Narrow" w:hAnsi="Arial Narrow"/>
          <w:sz w:val="22"/>
        </w:rPr>
        <w:t xml:space="preserve">  Place:………………………</w:t>
      </w:r>
    </w:p>
    <w:p w:rsidR="00000000" w:rsidRDefault="00F061CA">
      <w:pPr>
        <w:ind w:left="-90"/>
        <w:jc w:val="both"/>
        <w:rPr>
          <w:rFonts w:ascii="Arial Narrow" w:hAnsi="Arial Narrow"/>
          <w:sz w:val="22"/>
        </w:rPr>
      </w:pPr>
      <w:r>
        <w:rPr>
          <w:rFonts w:ascii="Arial Narrow" w:hAnsi="Arial Narrow"/>
          <w:sz w:val="22"/>
        </w:rPr>
        <w:t xml:space="preserve">  Date:…………………………</w:t>
      </w:r>
    </w:p>
    <w:p w:rsidR="00000000" w:rsidRDefault="00F061CA">
      <w:pPr>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000000" w:rsidRDefault="00F061CA">
      <w:pPr>
        <w:jc w:val="both"/>
        <w:rPr>
          <w:rFonts w:ascii="Arial Narrow" w:hAnsi="Arial Narrow"/>
          <w:sz w:val="22"/>
        </w:rPr>
      </w:pPr>
    </w:p>
    <w:p w:rsidR="00000000" w:rsidRDefault="00F061CA">
      <w:pPr>
        <w:jc w:val="both"/>
        <w:rPr>
          <w:rFonts w:ascii="Arial Narrow" w:hAnsi="Arial Narrow"/>
          <w:sz w:val="22"/>
        </w:rPr>
      </w:pPr>
    </w:p>
    <w:p w:rsidR="00000000" w:rsidRDefault="00F061CA">
      <w:pPr>
        <w:pStyle w:val="Heading3"/>
      </w:pPr>
      <w:r>
        <w:lastRenderedPageBreak/>
        <w:t>Authorised S</w:t>
      </w:r>
      <w:r>
        <w:t>ignatory</w:t>
      </w:r>
      <w:r>
        <w:tab/>
      </w:r>
    </w:p>
    <w:p w:rsidR="00000000" w:rsidRDefault="00F061CA">
      <w:pPr>
        <w:rPr>
          <w:rFonts w:ascii="Arial Narrow" w:hAnsi="Arial Narrow"/>
          <w:sz w:val="22"/>
        </w:rPr>
      </w:pPr>
    </w:p>
    <w:p w:rsidR="00F061CA" w:rsidRDefault="00F061CA"/>
    <w:sectPr w:rsidR="00F061CA">
      <w:pgSz w:w="11907" w:h="16840" w:code="9"/>
      <w:pgMar w:top="1152" w:right="1800" w:bottom="1238" w:left="216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42B2"/>
    <w:multiLevelType w:val="singleLevel"/>
    <w:tmpl w:val="0409000F"/>
    <w:lvl w:ilvl="0">
      <w:start w:val="1"/>
      <w:numFmt w:val="decimal"/>
      <w:lvlText w:val="%1."/>
      <w:lvlJc w:val="left"/>
      <w:pPr>
        <w:tabs>
          <w:tab w:val="num" w:pos="360"/>
        </w:tabs>
        <w:ind w:left="360" w:hanging="360"/>
      </w:pPr>
    </w:lvl>
  </w:abstractNum>
  <w:abstractNum w:abstractNumId="1">
    <w:nsid w:val="41B86684"/>
    <w:multiLevelType w:val="singleLevel"/>
    <w:tmpl w:val="04090017"/>
    <w:lvl w:ilvl="0">
      <w:start w:val="1"/>
      <w:numFmt w:val="lowerLetter"/>
      <w:lvlText w:val="%1)"/>
      <w:lvlJc w:val="left"/>
      <w:pPr>
        <w:tabs>
          <w:tab w:val="num" w:pos="360"/>
        </w:tabs>
        <w:ind w:left="360" w:hanging="360"/>
      </w:pPr>
    </w:lvl>
  </w:abstractNum>
  <w:abstractNum w:abstractNumId="2">
    <w:nsid w:val="6E4939B8"/>
    <w:multiLevelType w:val="singleLevel"/>
    <w:tmpl w:val="0409000F"/>
    <w:lvl w:ilvl="0">
      <w:start w:val="1"/>
      <w:numFmt w:val="decimal"/>
      <w:lvlText w:val="%1."/>
      <w:lvlJc w:val="left"/>
      <w:pPr>
        <w:tabs>
          <w:tab w:val="num" w:pos="360"/>
        </w:tabs>
        <w:ind w:left="360" w:hanging="360"/>
      </w:pPr>
    </w:lvl>
  </w:abstractNum>
  <w:abstractNum w:abstractNumId="3">
    <w:nsid w:val="754B20B2"/>
    <w:multiLevelType w:val="hybridMultilevel"/>
    <w:tmpl w:val="10B2EE62"/>
    <w:lvl w:ilvl="0" w:tplc="03E82BAC">
      <w:start w:val="1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B61D6F"/>
    <w:multiLevelType w:val="singleLevel"/>
    <w:tmpl w:val="D32E3EE8"/>
    <w:lvl w:ilvl="0">
      <w:start w:val="10"/>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4"/>
  </w:num>
  <w:num w:numId="5">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noPunctuationKerning/>
  <w:characterSpacingControl w:val="doNotCompress"/>
  <w:compat/>
  <w:rsids>
    <w:rsidRoot w:val="003A0900"/>
    <w:rsid w:val="003A0900"/>
    <w:rsid w:val="00F06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1">
    <w:name w:val="heading 1"/>
    <w:basedOn w:val="Normal"/>
    <w:next w:val="Normal"/>
    <w:qFormat/>
    <w:pPr>
      <w:keepNext/>
      <w:spacing w:line="360" w:lineRule="auto"/>
      <w:jc w:val="both"/>
      <w:outlineLvl w:val="0"/>
    </w:pPr>
    <w:rPr>
      <w:szCs w:val="20"/>
      <w:lang w:val="en-US"/>
    </w:rPr>
  </w:style>
  <w:style w:type="paragraph" w:styleId="Heading2">
    <w:name w:val="heading 2"/>
    <w:basedOn w:val="Normal"/>
    <w:next w:val="Normal"/>
    <w:qFormat/>
    <w:pPr>
      <w:keepNext/>
      <w:ind w:left="330"/>
      <w:jc w:val="right"/>
      <w:outlineLvl w:val="1"/>
    </w:pPr>
    <w:rPr>
      <w:rFonts w:ascii="Arial Narrow" w:hAnsi="Arial Narrow"/>
      <w:b/>
      <w:sz w:val="22"/>
    </w:rPr>
  </w:style>
  <w:style w:type="paragraph" w:styleId="Heading3">
    <w:name w:val="heading 3"/>
    <w:basedOn w:val="Normal"/>
    <w:next w:val="Normal"/>
    <w:qFormat/>
    <w:pPr>
      <w:keepNext/>
      <w:jc w:val="right"/>
      <w:outlineLvl w:val="2"/>
    </w:pPr>
    <w:rPr>
      <w:rFonts w:ascii="Arial Narrow" w:hAnsi="Arial Narrow"/>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szCs w:val="20"/>
      <w:lang w:val="en-US"/>
    </w:rPr>
  </w:style>
  <w:style w:type="paragraph" w:styleId="BodyText2">
    <w:name w:val="Body Text 2"/>
    <w:basedOn w:val="Normal"/>
    <w:semiHidden/>
    <w:pPr>
      <w:spacing w:line="360" w:lineRule="auto"/>
    </w:pPr>
    <w:rPr>
      <w:szCs w:val="20"/>
      <w:lang w:val="en-US"/>
    </w:rPr>
  </w:style>
  <w:style w:type="paragraph" w:styleId="BodyTextIndent3">
    <w:name w:val="Body Text Indent 3"/>
    <w:basedOn w:val="Normal"/>
    <w:semiHidden/>
    <w:pPr>
      <w:spacing w:after="120" w:line="360" w:lineRule="auto"/>
      <w:ind w:left="1080" w:hanging="1080"/>
      <w:jc w:val="both"/>
    </w:pPr>
    <w:rPr>
      <w:szCs w:val="20"/>
      <w:lang w:val="en-US"/>
    </w:rPr>
  </w:style>
  <w:style w:type="paragraph" w:styleId="BodyTextIndent">
    <w:name w:val="Body Text Indent"/>
    <w:basedOn w:val="Normal"/>
    <w:semiHidden/>
    <w:pPr>
      <w:spacing w:line="360" w:lineRule="auto"/>
      <w:ind w:left="360"/>
      <w:jc w:val="both"/>
    </w:pPr>
    <w:rPr>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itgi</Company>
  <LinksUpToDate>false</LinksUpToDate>
  <CharactersWithSpaces>10999</CharactersWithSpaces>
  <SharedDoc>false</SharedDoc>
  <HLinks>
    <vt:vector size="12" baseType="variant">
      <vt:variant>
        <vt:i4>3276803</vt:i4>
      </vt:variant>
      <vt:variant>
        <vt:i4>-1</vt:i4>
      </vt:variant>
      <vt:variant>
        <vt:i4>1026</vt:i4>
      </vt:variant>
      <vt:variant>
        <vt:i4>1</vt:i4>
      </vt:variant>
      <vt:variant>
        <vt:lpwstr>C:\Documents and Settings\Takuya Okui\My Documents\My Pictures\Picture2.png</vt:lpwstr>
      </vt:variant>
      <vt:variant>
        <vt:lpwstr/>
      </vt:variant>
      <vt:variant>
        <vt:i4>3276803</vt:i4>
      </vt:variant>
      <vt:variant>
        <vt:i4>-1</vt:i4>
      </vt:variant>
      <vt:variant>
        <vt:i4>1031</vt:i4>
      </vt:variant>
      <vt:variant>
        <vt:i4>1</vt:i4>
      </vt:variant>
      <vt:variant>
        <vt:lpwstr>C:\Documents and Settings\Takuya Okui\My Documents\My Pictures\Picture2.png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mssethi</dc:creator>
  <cp:keywords/>
  <cp:lastModifiedBy>malvika.kaushik</cp:lastModifiedBy>
  <cp:revision>2</cp:revision>
  <dcterms:created xsi:type="dcterms:W3CDTF">2012-08-23T11:52:00Z</dcterms:created>
  <dcterms:modified xsi:type="dcterms:W3CDTF">2012-08-23T11:52:00Z</dcterms:modified>
</cp:coreProperties>
</file>