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35" w:rsidRPr="00DF7EE5" w:rsidRDefault="00E80872" w:rsidP="001F75A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F7EE5">
        <w:rPr>
          <w:rFonts w:ascii="Arial" w:hAnsi="Arial" w:cs="Arial"/>
          <w:b/>
          <w:bCs/>
          <w:sz w:val="24"/>
          <w:szCs w:val="24"/>
        </w:rPr>
        <w:t>Annexure – I</w:t>
      </w:r>
    </w:p>
    <w:p w:rsidR="00E80872" w:rsidRPr="00DF7EE5" w:rsidRDefault="00E80872">
      <w:pPr>
        <w:rPr>
          <w:rFonts w:ascii="Arial" w:hAnsi="Arial" w:cs="Arial"/>
          <w:sz w:val="24"/>
          <w:szCs w:val="24"/>
        </w:rPr>
      </w:pPr>
      <w:r w:rsidRPr="00DF7EE5">
        <w:rPr>
          <w:rFonts w:ascii="Arial" w:hAnsi="Arial" w:cs="Arial"/>
          <w:sz w:val="24"/>
          <w:szCs w:val="24"/>
        </w:rPr>
        <w:t>List of Health Insurance Regulatory Return</w:t>
      </w:r>
      <w:r w:rsidR="00891025">
        <w:rPr>
          <w:rFonts w:ascii="Arial" w:hAnsi="Arial" w:cs="Arial"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1523"/>
        <w:gridCol w:w="3066"/>
        <w:gridCol w:w="1530"/>
        <w:gridCol w:w="2160"/>
      </w:tblGrid>
      <w:tr w:rsidR="00E80872" w:rsidRPr="00DF7EE5" w:rsidTr="00B757D2">
        <w:tc>
          <w:tcPr>
            <w:tcW w:w="536" w:type="dxa"/>
          </w:tcPr>
          <w:p w:rsidR="00E80872" w:rsidRPr="00DF7EE5" w:rsidRDefault="00E8087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F7E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Sl No</w:t>
            </w:r>
          </w:p>
        </w:tc>
        <w:tc>
          <w:tcPr>
            <w:tcW w:w="1523" w:type="dxa"/>
          </w:tcPr>
          <w:p w:rsidR="00E80872" w:rsidRPr="00DF7EE5" w:rsidRDefault="00E8087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F7E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Form No.</w:t>
            </w:r>
          </w:p>
        </w:tc>
        <w:tc>
          <w:tcPr>
            <w:tcW w:w="3066" w:type="dxa"/>
          </w:tcPr>
          <w:p w:rsidR="00E80872" w:rsidRPr="00DF7EE5" w:rsidRDefault="00E8087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F7E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Description</w:t>
            </w:r>
          </w:p>
        </w:tc>
        <w:tc>
          <w:tcPr>
            <w:tcW w:w="1530" w:type="dxa"/>
          </w:tcPr>
          <w:p w:rsidR="00E80872" w:rsidRPr="00DF7EE5" w:rsidRDefault="00E8087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F7E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Frequency</w:t>
            </w:r>
          </w:p>
        </w:tc>
        <w:tc>
          <w:tcPr>
            <w:tcW w:w="2160" w:type="dxa"/>
          </w:tcPr>
          <w:p w:rsidR="00E80872" w:rsidRPr="00DF7EE5" w:rsidRDefault="00E8087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F7E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Applicability</w:t>
            </w:r>
          </w:p>
        </w:tc>
      </w:tr>
      <w:tr w:rsidR="00E80872" w:rsidRPr="00DF7EE5" w:rsidTr="00B757D2">
        <w:tc>
          <w:tcPr>
            <w:tcW w:w="536" w:type="dxa"/>
          </w:tcPr>
          <w:p w:rsidR="00E80872" w:rsidRPr="00DF7EE5" w:rsidRDefault="00E80872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E80872" w:rsidRPr="00DF7EE5" w:rsidRDefault="00E80872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HIR – 1</w:t>
            </w:r>
          </w:p>
        </w:tc>
        <w:tc>
          <w:tcPr>
            <w:tcW w:w="3066" w:type="dxa"/>
          </w:tcPr>
          <w:p w:rsidR="00E80872" w:rsidRPr="00DF7EE5" w:rsidRDefault="00E80872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 xml:space="preserve">Details of </w:t>
            </w:r>
            <w:r w:rsidR="006127EB">
              <w:rPr>
                <w:rFonts w:ascii="Arial" w:hAnsi="Arial" w:cs="Arial"/>
                <w:sz w:val="24"/>
                <w:szCs w:val="24"/>
              </w:rPr>
              <w:t>p</w:t>
            </w:r>
            <w:r w:rsidRPr="00DF7EE5">
              <w:rPr>
                <w:rFonts w:ascii="Arial" w:hAnsi="Arial" w:cs="Arial"/>
                <w:sz w:val="24"/>
                <w:szCs w:val="24"/>
              </w:rPr>
              <w:t xml:space="preserve">roduct / add-on performance (Health / Personal Accident / </w:t>
            </w:r>
          </w:p>
          <w:p w:rsidR="00E80872" w:rsidRPr="00DF7EE5" w:rsidRDefault="00E80872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 xml:space="preserve">Domestic Travel / Overseas Travel) </w:t>
            </w:r>
          </w:p>
        </w:tc>
        <w:tc>
          <w:tcPr>
            <w:tcW w:w="1530" w:type="dxa"/>
          </w:tcPr>
          <w:p w:rsidR="00E80872" w:rsidRPr="00DF7EE5" w:rsidRDefault="00E80872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Yearly</w:t>
            </w:r>
          </w:p>
        </w:tc>
        <w:tc>
          <w:tcPr>
            <w:tcW w:w="2160" w:type="dxa"/>
          </w:tcPr>
          <w:p w:rsidR="00E80872" w:rsidRPr="00DF7EE5" w:rsidRDefault="00E80872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General and Health Insurers</w:t>
            </w:r>
          </w:p>
        </w:tc>
      </w:tr>
      <w:tr w:rsidR="00E80872" w:rsidRPr="00DF7EE5" w:rsidTr="00B757D2">
        <w:tc>
          <w:tcPr>
            <w:tcW w:w="536" w:type="dxa"/>
          </w:tcPr>
          <w:p w:rsidR="00E80872" w:rsidRPr="00DF7EE5" w:rsidRDefault="00E80872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E80872" w:rsidRPr="00DF7EE5" w:rsidRDefault="00E80872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HIR – 2</w:t>
            </w:r>
          </w:p>
        </w:tc>
        <w:tc>
          <w:tcPr>
            <w:tcW w:w="3066" w:type="dxa"/>
          </w:tcPr>
          <w:p w:rsidR="00E80872" w:rsidRPr="00DF7EE5" w:rsidRDefault="00E80872" w:rsidP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 xml:space="preserve">Details of performance of </w:t>
            </w:r>
            <w:r w:rsidR="00CA3B5E" w:rsidRPr="00DF7EE5">
              <w:rPr>
                <w:rFonts w:ascii="Arial" w:hAnsi="Arial" w:cs="Arial"/>
                <w:sz w:val="24"/>
                <w:szCs w:val="24"/>
              </w:rPr>
              <w:t>C</w:t>
            </w:r>
            <w:r w:rsidRPr="00DF7EE5">
              <w:rPr>
                <w:rFonts w:ascii="Arial" w:hAnsi="Arial" w:cs="Arial"/>
                <w:sz w:val="24"/>
                <w:szCs w:val="24"/>
              </w:rPr>
              <w:t>ombi products</w:t>
            </w:r>
          </w:p>
        </w:tc>
        <w:tc>
          <w:tcPr>
            <w:tcW w:w="1530" w:type="dxa"/>
          </w:tcPr>
          <w:p w:rsidR="00E80872" w:rsidRPr="00DF7EE5" w:rsidRDefault="00E80872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Yearly</w:t>
            </w:r>
          </w:p>
        </w:tc>
        <w:tc>
          <w:tcPr>
            <w:tcW w:w="2160" w:type="dxa"/>
          </w:tcPr>
          <w:p w:rsidR="00E80872" w:rsidRPr="00DF7EE5" w:rsidRDefault="00E80872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Life, General and Health Insurers</w:t>
            </w:r>
          </w:p>
        </w:tc>
      </w:tr>
      <w:tr w:rsidR="00CA3B5E" w:rsidRPr="00DF7EE5" w:rsidTr="00B757D2">
        <w:tc>
          <w:tcPr>
            <w:tcW w:w="53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HIR – 3</w:t>
            </w:r>
          </w:p>
        </w:tc>
        <w:tc>
          <w:tcPr>
            <w:tcW w:w="306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Details of State-wise Channel-wise business</w:t>
            </w:r>
          </w:p>
        </w:tc>
        <w:tc>
          <w:tcPr>
            <w:tcW w:w="1530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Yearly</w:t>
            </w:r>
          </w:p>
        </w:tc>
        <w:tc>
          <w:tcPr>
            <w:tcW w:w="2160" w:type="dxa"/>
            <w:vMerge w:val="restart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General and Health Insurers</w:t>
            </w:r>
          </w:p>
          <w:p w:rsidR="00CA3B5E" w:rsidRPr="00DF7EE5" w:rsidRDefault="00CA3B5E" w:rsidP="00CA3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B5E" w:rsidRPr="00DF7EE5" w:rsidTr="00B757D2">
        <w:tc>
          <w:tcPr>
            <w:tcW w:w="53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HIR – 4</w:t>
            </w:r>
          </w:p>
        </w:tc>
        <w:tc>
          <w:tcPr>
            <w:tcW w:w="306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State-wise details of New Business and In-force Business</w:t>
            </w:r>
          </w:p>
        </w:tc>
        <w:tc>
          <w:tcPr>
            <w:tcW w:w="1530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Yearly</w:t>
            </w:r>
          </w:p>
        </w:tc>
        <w:tc>
          <w:tcPr>
            <w:tcW w:w="2160" w:type="dxa"/>
            <w:vMerge/>
          </w:tcPr>
          <w:p w:rsidR="00CA3B5E" w:rsidRPr="00DF7EE5" w:rsidRDefault="00CA3B5E" w:rsidP="00DC5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B5E" w:rsidRPr="00DF7EE5" w:rsidTr="00B757D2">
        <w:tc>
          <w:tcPr>
            <w:tcW w:w="53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HIR – 5</w:t>
            </w:r>
          </w:p>
        </w:tc>
        <w:tc>
          <w:tcPr>
            <w:tcW w:w="306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Details of state wise (excluding PA and Travel) claims paid by mode of settlement of claims</w:t>
            </w:r>
          </w:p>
        </w:tc>
        <w:tc>
          <w:tcPr>
            <w:tcW w:w="1530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Yearly</w:t>
            </w:r>
          </w:p>
        </w:tc>
        <w:tc>
          <w:tcPr>
            <w:tcW w:w="2160" w:type="dxa"/>
            <w:vMerge/>
          </w:tcPr>
          <w:p w:rsidR="00CA3B5E" w:rsidRPr="00DF7EE5" w:rsidRDefault="00CA3B5E" w:rsidP="00DC5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B5E" w:rsidRPr="00DF7EE5" w:rsidTr="00B757D2">
        <w:tc>
          <w:tcPr>
            <w:tcW w:w="53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HIR - 6</w:t>
            </w:r>
          </w:p>
        </w:tc>
        <w:tc>
          <w:tcPr>
            <w:tcW w:w="3066" w:type="dxa"/>
          </w:tcPr>
          <w:p w:rsidR="00CA3B5E" w:rsidRPr="00DF7EE5" w:rsidRDefault="00CA3B5E" w:rsidP="006127EB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 xml:space="preserve">State </w:t>
            </w:r>
            <w:r w:rsidR="006127EB">
              <w:rPr>
                <w:rFonts w:ascii="Arial" w:hAnsi="Arial" w:cs="Arial"/>
                <w:sz w:val="24"/>
                <w:szCs w:val="24"/>
              </w:rPr>
              <w:t>w</w:t>
            </w:r>
            <w:r w:rsidRPr="00DF7EE5">
              <w:rPr>
                <w:rFonts w:ascii="Arial" w:hAnsi="Arial" w:cs="Arial"/>
                <w:sz w:val="24"/>
                <w:szCs w:val="24"/>
              </w:rPr>
              <w:t>ise details on number of network providers</w:t>
            </w:r>
          </w:p>
        </w:tc>
        <w:tc>
          <w:tcPr>
            <w:tcW w:w="1530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Yearly</w:t>
            </w:r>
          </w:p>
        </w:tc>
        <w:tc>
          <w:tcPr>
            <w:tcW w:w="2160" w:type="dxa"/>
            <w:vMerge/>
          </w:tcPr>
          <w:p w:rsidR="00CA3B5E" w:rsidRPr="00DF7EE5" w:rsidRDefault="00CA3B5E" w:rsidP="00DC5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B5E" w:rsidRPr="00DF7EE5" w:rsidTr="00B757D2">
        <w:tc>
          <w:tcPr>
            <w:tcW w:w="53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HIR – 7</w:t>
            </w:r>
          </w:p>
        </w:tc>
        <w:tc>
          <w:tcPr>
            <w:tcW w:w="3066" w:type="dxa"/>
          </w:tcPr>
          <w:p w:rsidR="00CA3B5E" w:rsidRPr="00DF7EE5" w:rsidRDefault="00CA3B5E" w:rsidP="00F47706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Details of claims handled (in-house settlement and through TPAs</w:t>
            </w:r>
            <w:r w:rsidR="00F47706">
              <w:rPr>
                <w:rFonts w:ascii="Arial" w:hAnsi="Arial" w:cs="Arial"/>
                <w:sz w:val="24"/>
                <w:szCs w:val="24"/>
              </w:rPr>
              <w:t>, as may be applicable</w:t>
            </w:r>
            <w:bookmarkStart w:id="0" w:name="_GoBack"/>
            <w:bookmarkEnd w:id="0"/>
            <w:r w:rsidRPr="00DF7EE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Yearly</w:t>
            </w:r>
          </w:p>
        </w:tc>
        <w:tc>
          <w:tcPr>
            <w:tcW w:w="2160" w:type="dxa"/>
            <w:vMerge/>
          </w:tcPr>
          <w:p w:rsidR="00CA3B5E" w:rsidRPr="00DF7EE5" w:rsidRDefault="00CA3B5E" w:rsidP="00DC5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B5E" w:rsidRPr="00DF7EE5" w:rsidTr="00B757D2">
        <w:tc>
          <w:tcPr>
            <w:tcW w:w="53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HIR – 8</w:t>
            </w:r>
          </w:p>
        </w:tc>
        <w:tc>
          <w:tcPr>
            <w:tcW w:w="306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Details of Gross Premium, Number of persons covered and incurred claims for the quarter</w:t>
            </w:r>
          </w:p>
        </w:tc>
        <w:tc>
          <w:tcPr>
            <w:tcW w:w="1530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2160" w:type="dxa"/>
            <w:vMerge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B5E" w:rsidRPr="00DF7EE5" w:rsidTr="00B757D2">
        <w:tc>
          <w:tcPr>
            <w:tcW w:w="53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HIR – 9</w:t>
            </w:r>
          </w:p>
        </w:tc>
        <w:tc>
          <w:tcPr>
            <w:tcW w:w="306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 xml:space="preserve">State-wise details of </w:t>
            </w:r>
            <w:r w:rsidR="006A09B5">
              <w:rPr>
                <w:rFonts w:ascii="Arial" w:hAnsi="Arial" w:cs="Arial"/>
                <w:sz w:val="24"/>
                <w:szCs w:val="24"/>
              </w:rPr>
              <w:t xml:space="preserve">claims, </w:t>
            </w:r>
            <w:r w:rsidRPr="00DF7EE5">
              <w:rPr>
                <w:rFonts w:ascii="Arial" w:hAnsi="Arial" w:cs="Arial"/>
                <w:sz w:val="24"/>
                <w:szCs w:val="24"/>
              </w:rPr>
              <w:t>new business, renewal business and in-force business of health insurance products</w:t>
            </w:r>
          </w:p>
        </w:tc>
        <w:tc>
          <w:tcPr>
            <w:tcW w:w="1530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Yearly</w:t>
            </w:r>
          </w:p>
        </w:tc>
        <w:tc>
          <w:tcPr>
            <w:tcW w:w="2160" w:type="dxa"/>
            <w:vMerge w:val="restart"/>
          </w:tcPr>
          <w:p w:rsidR="00CA3B5E" w:rsidRPr="00DF7EE5" w:rsidRDefault="00CA3B5E" w:rsidP="00CA3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Life Insurers</w:t>
            </w:r>
          </w:p>
          <w:p w:rsidR="00CA3B5E" w:rsidRPr="00DF7EE5" w:rsidRDefault="00CA3B5E" w:rsidP="00862A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B5E" w:rsidRPr="00DF7EE5" w:rsidTr="00B757D2">
        <w:tc>
          <w:tcPr>
            <w:tcW w:w="536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HIR - 10</w:t>
            </w:r>
          </w:p>
        </w:tc>
        <w:tc>
          <w:tcPr>
            <w:tcW w:w="3066" w:type="dxa"/>
          </w:tcPr>
          <w:p w:rsidR="00CA3B5E" w:rsidRPr="00DF7EE5" w:rsidRDefault="00CA3B5E" w:rsidP="006127EB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 xml:space="preserve">State-wise details of </w:t>
            </w:r>
            <w:r w:rsidR="006A09B5">
              <w:rPr>
                <w:rFonts w:ascii="Arial" w:hAnsi="Arial" w:cs="Arial"/>
                <w:sz w:val="24"/>
                <w:szCs w:val="24"/>
              </w:rPr>
              <w:t xml:space="preserve">claims, </w:t>
            </w:r>
            <w:r w:rsidR="006127EB">
              <w:rPr>
                <w:rFonts w:ascii="Arial" w:hAnsi="Arial" w:cs="Arial"/>
                <w:sz w:val="24"/>
                <w:szCs w:val="24"/>
              </w:rPr>
              <w:t>n</w:t>
            </w:r>
            <w:r w:rsidRPr="00DF7EE5">
              <w:rPr>
                <w:rFonts w:ascii="Arial" w:hAnsi="Arial" w:cs="Arial"/>
                <w:sz w:val="24"/>
                <w:szCs w:val="24"/>
              </w:rPr>
              <w:t xml:space="preserve">ew </w:t>
            </w:r>
            <w:r w:rsidR="006127EB">
              <w:rPr>
                <w:rFonts w:ascii="Arial" w:hAnsi="Arial" w:cs="Arial"/>
                <w:sz w:val="24"/>
                <w:szCs w:val="24"/>
              </w:rPr>
              <w:t>b</w:t>
            </w:r>
            <w:r w:rsidRPr="00DF7EE5">
              <w:rPr>
                <w:rFonts w:ascii="Arial" w:hAnsi="Arial" w:cs="Arial"/>
                <w:sz w:val="24"/>
                <w:szCs w:val="24"/>
              </w:rPr>
              <w:t xml:space="preserve">usiness, </w:t>
            </w:r>
            <w:r w:rsidR="006127EB">
              <w:rPr>
                <w:rFonts w:ascii="Arial" w:hAnsi="Arial" w:cs="Arial"/>
                <w:sz w:val="24"/>
                <w:szCs w:val="24"/>
              </w:rPr>
              <w:t>r</w:t>
            </w:r>
            <w:r w:rsidRPr="00DF7EE5">
              <w:rPr>
                <w:rFonts w:ascii="Arial" w:hAnsi="Arial" w:cs="Arial"/>
                <w:sz w:val="24"/>
                <w:szCs w:val="24"/>
              </w:rPr>
              <w:t xml:space="preserve">enewal </w:t>
            </w:r>
            <w:r w:rsidR="006127EB">
              <w:rPr>
                <w:rFonts w:ascii="Arial" w:hAnsi="Arial" w:cs="Arial"/>
                <w:sz w:val="24"/>
                <w:szCs w:val="24"/>
              </w:rPr>
              <w:t>b</w:t>
            </w:r>
            <w:r w:rsidRPr="00DF7EE5">
              <w:rPr>
                <w:rFonts w:ascii="Arial" w:hAnsi="Arial" w:cs="Arial"/>
                <w:sz w:val="24"/>
                <w:szCs w:val="24"/>
              </w:rPr>
              <w:t xml:space="preserve">usiness and </w:t>
            </w:r>
            <w:r w:rsidR="006127EB">
              <w:rPr>
                <w:rFonts w:ascii="Arial" w:hAnsi="Arial" w:cs="Arial"/>
                <w:sz w:val="24"/>
                <w:szCs w:val="24"/>
              </w:rPr>
              <w:t>i</w:t>
            </w:r>
            <w:r w:rsidRPr="00DF7EE5">
              <w:rPr>
                <w:rFonts w:ascii="Arial" w:hAnsi="Arial" w:cs="Arial"/>
                <w:sz w:val="24"/>
                <w:szCs w:val="24"/>
              </w:rPr>
              <w:t>n-force business of health insurance riders</w:t>
            </w:r>
          </w:p>
        </w:tc>
        <w:tc>
          <w:tcPr>
            <w:tcW w:w="1530" w:type="dxa"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  <w:r w:rsidRPr="00DF7EE5">
              <w:rPr>
                <w:rFonts w:ascii="Arial" w:hAnsi="Arial" w:cs="Arial"/>
                <w:sz w:val="24"/>
                <w:szCs w:val="24"/>
              </w:rPr>
              <w:t>Yearly</w:t>
            </w:r>
          </w:p>
        </w:tc>
        <w:tc>
          <w:tcPr>
            <w:tcW w:w="2160" w:type="dxa"/>
            <w:vMerge/>
          </w:tcPr>
          <w:p w:rsidR="00CA3B5E" w:rsidRPr="00DF7EE5" w:rsidRDefault="00CA3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0872" w:rsidRPr="00DF7EE5" w:rsidRDefault="00E80872">
      <w:pPr>
        <w:rPr>
          <w:rFonts w:ascii="Arial" w:hAnsi="Arial" w:cs="Arial"/>
          <w:sz w:val="24"/>
          <w:szCs w:val="24"/>
        </w:rPr>
      </w:pPr>
    </w:p>
    <w:sectPr w:rsidR="00E80872" w:rsidRPr="00DF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FC"/>
    <w:rsid w:val="00002169"/>
    <w:rsid w:val="001F75A7"/>
    <w:rsid w:val="0045276D"/>
    <w:rsid w:val="005F32FC"/>
    <w:rsid w:val="006127EB"/>
    <w:rsid w:val="006A09B5"/>
    <w:rsid w:val="00891025"/>
    <w:rsid w:val="008A0F35"/>
    <w:rsid w:val="00B757D2"/>
    <w:rsid w:val="00CA3B5E"/>
    <w:rsid w:val="00DF7EE5"/>
    <w:rsid w:val="00E30F0F"/>
    <w:rsid w:val="00E80872"/>
    <w:rsid w:val="00F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FFD2"/>
  <w15:chartTrackingRefBased/>
  <w15:docId w15:val="{F0E840A7-ECB1-40E2-8F08-CC63D268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</dc:creator>
  <cp:keywords/>
  <dc:description/>
  <cp:lastModifiedBy>Ramesh</cp:lastModifiedBy>
  <cp:revision>10</cp:revision>
  <dcterms:created xsi:type="dcterms:W3CDTF">2022-09-09T09:14:00Z</dcterms:created>
  <dcterms:modified xsi:type="dcterms:W3CDTF">2022-09-13T07:43:00Z</dcterms:modified>
</cp:coreProperties>
</file>